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31C04" w14:textId="77777777" w:rsidR="00A7696B" w:rsidRPr="00937EF7" w:rsidRDefault="00A7696B" w:rsidP="0000419E">
      <w:pPr>
        <w:pStyle w:val="Title"/>
        <w:spacing w:line="240" w:lineRule="auto"/>
        <w:rPr>
          <w:rFonts w:asciiTheme="minorHAnsi" w:hAnsiTheme="minorHAnsi"/>
          <w:b/>
        </w:rPr>
      </w:pPr>
      <w:r w:rsidRPr="00937EF7">
        <w:rPr>
          <w:rFonts w:asciiTheme="minorHAnsi" w:hAnsiTheme="minorHAnsi"/>
          <w:b/>
          <w:sz w:val="38"/>
        </w:rPr>
        <w:t>Migration Country Profile: BANGLADESH</w:t>
      </w:r>
    </w:p>
    <w:p w14:paraId="69A6982C" w14:textId="77777777" w:rsidR="00A7696B" w:rsidRPr="00937EF7" w:rsidRDefault="00A7696B" w:rsidP="0000419E">
      <w:pPr>
        <w:spacing w:line="240" w:lineRule="auto"/>
        <w:rPr>
          <w:color w:val="5985BD" w:themeColor="accent4"/>
        </w:rPr>
      </w:pPr>
    </w:p>
    <w:p w14:paraId="3728BE34" w14:textId="77777777" w:rsidR="00A7696B" w:rsidRPr="00937EF7" w:rsidRDefault="00A7696B" w:rsidP="0000419E">
      <w:pPr>
        <w:spacing w:line="240" w:lineRule="auto"/>
        <w:rPr>
          <w:b/>
          <w:sz w:val="38"/>
          <w:szCs w:val="28"/>
        </w:rPr>
      </w:pPr>
      <w:proofErr w:type="spellStart"/>
      <w:r w:rsidRPr="00937EF7">
        <w:rPr>
          <w:b/>
          <w:sz w:val="38"/>
          <w:szCs w:val="28"/>
        </w:rPr>
        <w:t>Debabrata</w:t>
      </w:r>
      <w:proofErr w:type="spellEnd"/>
      <w:r w:rsidRPr="00937EF7">
        <w:rPr>
          <w:b/>
          <w:sz w:val="38"/>
          <w:szCs w:val="28"/>
        </w:rPr>
        <w:t xml:space="preserve"> </w:t>
      </w:r>
      <w:proofErr w:type="spellStart"/>
      <w:r w:rsidRPr="00937EF7">
        <w:rPr>
          <w:b/>
          <w:sz w:val="38"/>
          <w:szCs w:val="28"/>
        </w:rPr>
        <w:t>Ghosh</w:t>
      </w:r>
      <w:proofErr w:type="spellEnd"/>
    </w:p>
    <w:p w14:paraId="3115B226" w14:textId="17DCB270" w:rsidR="00A7696B" w:rsidRPr="00937EF7" w:rsidRDefault="00A7696B" w:rsidP="0000419E">
      <w:pPr>
        <w:spacing w:line="240" w:lineRule="auto"/>
        <w:rPr>
          <w:sz w:val="28"/>
          <w:szCs w:val="28"/>
        </w:rPr>
      </w:pPr>
      <w:r w:rsidRPr="00937EF7">
        <w:rPr>
          <w:sz w:val="28"/>
          <w:szCs w:val="28"/>
        </w:rPr>
        <w:t>Migration Management Diploma Programme</w:t>
      </w:r>
      <w:r w:rsidR="00F87C21">
        <w:rPr>
          <w:sz w:val="28"/>
          <w:szCs w:val="28"/>
        </w:rPr>
        <w:t>-2023</w:t>
      </w:r>
    </w:p>
    <w:p w14:paraId="28602CCE" w14:textId="757EC663" w:rsidR="00A7696B" w:rsidRPr="00937EF7" w:rsidRDefault="00A7696B" w:rsidP="0000419E">
      <w:pPr>
        <w:spacing w:line="240" w:lineRule="auto"/>
        <w:rPr>
          <w:sz w:val="28"/>
          <w:szCs w:val="28"/>
        </w:rPr>
      </w:pPr>
      <w:r w:rsidRPr="00937EF7">
        <w:rPr>
          <w:sz w:val="28"/>
          <w:szCs w:val="28"/>
        </w:rPr>
        <w:t xml:space="preserve">Maastricht </w:t>
      </w:r>
      <w:r w:rsidR="003B1257" w:rsidRPr="00937EF7">
        <w:rPr>
          <w:sz w:val="28"/>
          <w:szCs w:val="28"/>
        </w:rPr>
        <w:t>Graduate</w:t>
      </w:r>
      <w:r w:rsidR="003B1257" w:rsidRPr="00937EF7">
        <w:rPr>
          <w:sz w:val="28"/>
          <w:szCs w:val="28"/>
        </w:rPr>
        <w:t xml:space="preserve"> </w:t>
      </w:r>
      <w:r w:rsidRPr="00937EF7">
        <w:rPr>
          <w:sz w:val="28"/>
          <w:szCs w:val="28"/>
        </w:rPr>
        <w:t xml:space="preserve">School of </w:t>
      </w:r>
      <w:r w:rsidR="003B1257">
        <w:rPr>
          <w:sz w:val="28"/>
          <w:szCs w:val="28"/>
        </w:rPr>
        <w:t>Governance</w:t>
      </w:r>
    </w:p>
    <w:p w14:paraId="0CA39BE1" w14:textId="779E8196" w:rsidR="00A7696B" w:rsidRDefault="00A7696B" w:rsidP="0000419E">
      <w:pPr>
        <w:spacing w:line="240" w:lineRule="auto"/>
        <w:rPr>
          <w:sz w:val="28"/>
          <w:szCs w:val="28"/>
        </w:rPr>
      </w:pPr>
      <w:r w:rsidRPr="00937EF7">
        <w:rPr>
          <w:sz w:val="28"/>
          <w:szCs w:val="28"/>
        </w:rPr>
        <w:t>UNU-MERIT Maastricht University</w:t>
      </w:r>
      <w:r w:rsidR="002E58E1">
        <w:rPr>
          <w:sz w:val="28"/>
          <w:szCs w:val="28"/>
        </w:rPr>
        <w:t xml:space="preserve">, </w:t>
      </w:r>
      <w:proofErr w:type="gramStart"/>
      <w:r w:rsidR="002E58E1">
        <w:rPr>
          <w:sz w:val="28"/>
          <w:szCs w:val="28"/>
        </w:rPr>
        <w:t>The</w:t>
      </w:r>
      <w:proofErr w:type="gramEnd"/>
      <w:r w:rsidR="002E58E1">
        <w:rPr>
          <w:sz w:val="28"/>
          <w:szCs w:val="28"/>
        </w:rPr>
        <w:t xml:space="preserve"> Netherlands</w:t>
      </w:r>
    </w:p>
    <w:p w14:paraId="6B00D101" w14:textId="77777777" w:rsidR="00B908B8" w:rsidRPr="00937EF7" w:rsidRDefault="00B908B8" w:rsidP="0000419E">
      <w:pPr>
        <w:spacing w:line="240" w:lineRule="auto"/>
        <w:rPr>
          <w:sz w:val="28"/>
          <w:szCs w:val="28"/>
        </w:rPr>
      </w:pPr>
    </w:p>
    <w:p w14:paraId="24E1708D" w14:textId="56A05018" w:rsidR="00475D2F" w:rsidRPr="00937EF7" w:rsidRDefault="007E2606" w:rsidP="0000419E">
      <w:pPr>
        <w:spacing w:line="240" w:lineRule="auto"/>
        <w:rPr>
          <w:sz w:val="28"/>
          <w:szCs w:val="28"/>
        </w:rPr>
      </w:pPr>
      <w:r w:rsidRPr="00937EF7">
        <w:rPr>
          <w:noProof/>
          <w:sz w:val="28"/>
          <w:szCs w:val="28"/>
          <w:lang w:eastAsia="en-US"/>
        </w:rPr>
        <w:drawing>
          <wp:inline distT="0" distB="0" distL="0" distR="0" wp14:anchorId="6BDEA821" wp14:editId="030F2805">
            <wp:extent cx="2482948" cy="13997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Bangladesh.web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2948" cy="1399736"/>
                    </a:xfrm>
                    <a:prstGeom prst="rect">
                      <a:avLst/>
                    </a:prstGeom>
                  </pic:spPr>
                </pic:pic>
              </a:graphicData>
            </a:graphic>
          </wp:inline>
        </w:drawing>
      </w:r>
      <w:r w:rsidR="0080063F" w:rsidRPr="00937EF7">
        <w:rPr>
          <w:sz w:val="28"/>
          <w:szCs w:val="28"/>
        </w:rPr>
        <w:t xml:space="preserve">      </w:t>
      </w:r>
      <w:r w:rsidR="0080063F" w:rsidRPr="00937EF7">
        <w:rPr>
          <w:noProof/>
          <w:sz w:val="28"/>
          <w:szCs w:val="28"/>
          <w:lang w:eastAsia="en-US"/>
        </w:rPr>
        <w:drawing>
          <wp:inline distT="0" distB="0" distL="0" distR="0" wp14:anchorId="05184E5B" wp14:editId="0F6115FD">
            <wp:extent cx="2672861" cy="13997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tiya-Sangsad-Bhaban-Dhaka-Bangl-Louis-I-1983.web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2861" cy="1399735"/>
                    </a:xfrm>
                    <a:prstGeom prst="rect">
                      <a:avLst/>
                    </a:prstGeom>
                  </pic:spPr>
                </pic:pic>
              </a:graphicData>
            </a:graphic>
          </wp:inline>
        </w:drawing>
      </w:r>
    </w:p>
    <w:p w14:paraId="7595C0E4" w14:textId="2BE6F401" w:rsidR="00475D2F" w:rsidRDefault="003809A8" w:rsidP="0000419E">
      <w:pPr>
        <w:spacing w:line="240" w:lineRule="auto"/>
        <w:rPr>
          <w:rStyle w:val="Hyperlink"/>
          <w:rFonts w:cs="Times New Roman"/>
          <w:color w:val="auto"/>
        </w:rPr>
      </w:pPr>
      <w:r w:rsidRPr="00937EF7">
        <w:rPr>
          <w:rFonts w:cs="Times New Roman"/>
        </w:rPr>
        <w:t xml:space="preserve">Source: </w:t>
      </w:r>
      <w:hyperlink r:id="rId11" w:history="1">
        <w:r w:rsidR="007C6023" w:rsidRPr="00937EF7">
          <w:rPr>
            <w:rStyle w:val="Hyperlink"/>
            <w:rFonts w:cs="Times New Roman"/>
            <w:color w:val="auto"/>
          </w:rPr>
          <w:t>https://www.britannica.com/topic/flag-of-Bangladesh</w:t>
        </w:r>
      </w:hyperlink>
    </w:p>
    <w:p w14:paraId="6B099E0A" w14:textId="77777777" w:rsidR="00B908B8" w:rsidRPr="00937EF7" w:rsidRDefault="00B908B8" w:rsidP="0000419E">
      <w:pPr>
        <w:spacing w:line="240" w:lineRule="auto"/>
        <w:rPr>
          <w:rFonts w:cs="Times New Roman"/>
        </w:rPr>
      </w:pPr>
    </w:p>
    <w:p w14:paraId="3ED25484" w14:textId="6A049C77" w:rsidR="00F97E4B" w:rsidRPr="00937EF7" w:rsidRDefault="00F97E4B" w:rsidP="0000419E">
      <w:pPr>
        <w:spacing w:line="240" w:lineRule="auto"/>
        <w:rPr>
          <w:sz w:val="28"/>
          <w:szCs w:val="28"/>
        </w:rPr>
      </w:pPr>
      <w:r w:rsidRPr="00937EF7">
        <w:rPr>
          <w:noProof/>
          <w:sz w:val="28"/>
          <w:szCs w:val="28"/>
          <w:lang w:eastAsia="en-US"/>
        </w:rPr>
        <w:drawing>
          <wp:inline distT="0" distB="0" distL="0" distR="0" wp14:anchorId="033AA734" wp14:editId="0C93635D">
            <wp:extent cx="2933114" cy="1828799"/>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_Martyrs’_Memorial_107.jpg"/>
                    <pic:cNvPicPr/>
                  </pic:nvPicPr>
                  <pic:blipFill>
                    <a:blip r:embed="rId12">
                      <a:extLst>
                        <a:ext uri="{28A0092B-C50C-407E-A947-70E740481C1C}">
                          <a14:useLocalDpi xmlns:a14="http://schemas.microsoft.com/office/drawing/2010/main" val="0"/>
                        </a:ext>
                      </a:extLst>
                    </a:blip>
                    <a:stretch>
                      <a:fillRect/>
                    </a:stretch>
                  </pic:blipFill>
                  <pic:spPr>
                    <a:xfrm>
                      <a:off x="0" y="0"/>
                      <a:ext cx="2942169" cy="1834445"/>
                    </a:xfrm>
                    <a:prstGeom prst="rect">
                      <a:avLst/>
                    </a:prstGeom>
                  </pic:spPr>
                </pic:pic>
              </a:graphicData>
            </a:graphic>
          </wp:inline>
        </w:drawing>
      </w:r>
      <w:r w:rsidRPr="00937EF7">
        <w:rPr>
          <w:sz w:val="28"/>
          <w:szCs w:val="28"/>
        </w:rPr>
        <w:t xml:space="preserve">             </w:t>
      </w:r>
      <w:r w:rsidRPr="00937EF7">
        <w:rPr>
          <w:noProof/>
          <w:sz w:val="28"/>
          <w:szCs w:val="28"/>
          <w:lang w:eastAsia="en-US"/>
        </w:rPr>
        <w:drawing>
          <wp:inline distT="0" distB="0" distL="0" distR="0" wp14:anchorId="52BDE5BF" wp14:editId="33470267">
            <wp:extent cx="2004646" cy="19061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_Seal_of_Bangladesh.svg.png"/>
                    <pic:cNvPicPr/>
                  </pic:nvPicPr>
                  <pic:blipFill>
                    <a:blip r:embed="rId13">
                      <a:extLst>
                        <a:ext uri="{28A0092B-C50C-407E-A947-70E740481C1C}">
                          <a14:useLocalDpi xmlns:a14="http://schemas.microsoft.com/office/drawing/2010/main" val="0"/>
                        </a:ext>
                      </a:extLst>
                    </a:blip>
                    <a:stretch>
                      <a:fillRect/>
                    </a:stretch>
                  </pic:blipFill>
                  <pic:spPr>
                    <a:xfrm>
                      <a:off x="0" y="0"/>
                      <a:ext cx="2003413" cy="1905000"/>
                    </a:xfrm>
                    <a:prstGeom prst="rect">
                      <a:avLst/>
                    </a:prstGeom>
                  </pic:spPr>
                </pic:pic>
              </a:graphicData>
            </a:graphic>
          </wp:inline>
        </w:drawing>
      </w:r>
    </w:p>
    <w:p w14:paraId="40F74691" w14:textId="77777777" w:rsidR="00F97E4B" w:rsidRPr="00937EF7" w:rsidRDefault="00F97E4B" w:rsidP="0000419E">
      <w:pPr>
        <w:spacing w:line="240" w:lineRule="auto"/>
        <w:rPr>
          <w:sz w:val="28"/>
          <w:szCs w:val="28"/>
        </w:rPr>
      </w:pPr>
    </w:p>
    <w:p w14:paraId="08ED6F7D" w14:textId="642E8B9B" w:rsidR="00F97E4B" w:rsidRPr="00937EF7" w:rsidRDefault="00F97E4B" w:rsidP="0000419E">
      <w:pPr>
        <w:spacing w:line="240" w:lineRule="auto"/>
        <w:rPr>
          <w:sz w:val="28"/>
          <w:szCs w:val="28"/>
        </w:rPr>
      </w:pPr>
      <w:r w:rsidRPr="00937EF7">
        <w:rPr>
          <w:noProof/>
          <w:sz w:val="28"/>
          <w:szCs w:val="28"/>
          <w:lang w:eastAsia="en-US"/>
        </w:rPr>
        <w:drawing>
          <wp:inline distT="0" distB="0" distL="0" distR="0" wp14:anchorId="232E3411" wp14:editId="74B4380D">
            <wp:extent cx="2588454" cy="1505243"/>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heed_Minar.JPG"/>
                    <pic:cNvPicPr/>
                  </pic:nvPicPr>
                  <pic:blipFill>
                    <a:blip r:embed="rId14">
                      <a:extLst>
                        <a:ext uri="{28A0092B-C50C-407E-A947-70E740481C1C}">
                          <a14:useLocalDpi xmlns:a14="http://schemas.microsoft.com/office/drawing/2010/main" val="0"/>
                        </a:ext>
                      </a:extLst>
                    </a:blip>
                    <a:stretch>
                      <a:fillRect/>
                    </a:stretch>
                  </pic:blipFill>
                  <pic:spPr>
                    <a:xfrm>
                      <a:off x="0" y="0"/>
                      <a:ext cx="2586864" cy="1504318"/>
                    </a:xfrm>
                    <a:prstGeom prst="rect">
                      <a:avLst/>
                    </a:prstGeom>
                  </pic:spPr>
                </pic:pic>
              </a:graphicData>
            </a:graphic>
          </wp:inline>
        </w:drawing>
      </w:r>
      <w:r w:rsidRPr="00937EF7">
        <w:rPr>
          <w:sz w:val="28"/>
          <w:szCs w:val="28"/>
        </w:rPr>
        <w:t xml:space="preserve">  </w:t>
      </w:r>
      <w:r w:rsidRPr="00937EF7">
        <w:rPr>
          <w:noProof/>
          <w:sz w:val="28"/>
          <w:szCs w:val="28"/>
          <w:lang w:eastAsia="en-US"/>
        </w:rPr>
        <w:drawing>
          <wp:inline distT="0" distB="0" distL="0" distR="0" wp14:anchorId="68AE9FBC" wp14:editId="293ADE7F">
            <wp:extent cx="2637692" cy="150902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Panthera_tigris_tigris.jpg"/>
                    <pic:cNvPicPr/>
                  </pic:nvPicPr>
                  <pic:blipFill>
                    <a:blip r:embed="rId15">
                      <a:extLst>
                        <a:ext uri="{28A0092B-C50C-407E-A947-70E740481C1C}">
                          <a14:useLocalDpi xmlns:a14="http://schemas.microsoft.com/office/drawing/2010/main" val="0"/>
                        </a:ext>
                      </a:extLst>
                    </a:blip>
                    <a:stretch>
                      <a:fillRect/>
                    </a:stretch>
                  </pic:blipFill>
                  <pic:spPr>
                    <a:xfrm>
                      <a:off x="0" y="0"/>
                      <a:ext cx="2647766" cy="1514785"/>
                    </a:xfrm>
                    <a:prstGeom prst="rect">
                      <a:avLst/>
                    </a:prstGeom>
                  </pic:spPr>
                </pic:pic>
              </a:graphicData>
            </a:graphic>
          </wp:inline>
        </w:drawing>
      </w:r>
    </w:p>
    <w:p w14:paraId="107F1A45" w14:textId="6E110139" w:rsidR="00F97E4B" w:rsidRPr="00937EF7" w:rsidRDefault="003809A8" w:rsidP="0000419E">
      <w:pPr>
        <w:spacing w:line="240" w:lineRule="auto"/>
        <w:rPr>
          <w:rFonts w:cs="Times New Roman"/>
        </w:rPr>
      </w:pPr>
      <w:r w:rsidRPr="00937EF7">
        <w:rPr>
          <w:rFonts w:cs="Times New Roman"/>
        </w:rPr>
        <w:t xml:space="preserve">Source: </w:t>
      </w:r>
      <w:hyperlink r:id="rId16" w:history="1">
        <w:r w:rsidR="00F97E4B" w:rsidRPr="00937EF7">
          <w:rPr>
            <w:rStyle w:val="Hyperlink"/>
            <w:rFonts w:cs="Times New Roman"/>
            <w:color w:val="auto"/>
          </w:rPr>
          <w:t>https://en.wikipedia.org/wiki/National_symbols_of_Bangladesh</w:t>
        </w:r>
      </w:hyperlink>
    </w:p>
    <w:p w14:paraId="1A622581" w14:textId="50F6B301" w:rsidR="002B78D7" w:rsidRPr="00937EF7" w:rsidRDefault="002B78D7" w:rsidP="00F87C21">
      <w:pPr>
        <w:spacing w:before="100" w:beforeAutospacing="1" w:after="100" w:afterAutospacing="1"/>
        <w:outlineLvl w:val="0"/>
      </w:pPr>
      <w:r w:rsidRPr="00937EF7">
        <w:br w:type="page"/>
      </w:r>
      <w:bookmarkStart w:id="0" w:name="_Toc51847919"/>
      <w:r w:rsidRPr="00937EF7">
        <w:lastRenderedPageBreak/>
        <w:t>Country Map</w:t>
      </w:r>
      <w:bookmarkEnd w:id="0"/>
      <w:r w:rsidR="008D4EA9" w:rsidRPr="00937EF7">
        <w:t>: BANGLADESH</w:t>
      </w:r>
    </w:p>
    <w:p w14:paraId="7CCB5805" w14:textId="77777777" w:rsidR="006D5F0B" w:rsidRPr="00937EF7" w:rsidRDefault="006D5F0B" w:rsidP="0000419E">
      <w:pPr>
        <w:pStyle w:val="Caption"/>
      </w:pPr>
      <w:bookmarkStart w:id="1" w:name="_Toc31659783"/>
      <w:r w:rsidRPr="00937EF7">
        <w:t xml:space="preserve">Figure </w:t>
      </w:r>
      <w:fldSimple w:instr=" SEQ Figure \* ARABIC ">
        <w:r w:rsidR="000838F5">
          <w:rPr>
            <w:noProof/>
          </w:rPr>
          <w:t>1</w:t>
        </w:r>
      </w:fldSimple>
      <w:r w:rsidRPr="00937EF7">
        <w:t>: Country Map</w:t>
      </w:r>
      <w:bookmarkEnd w:id="1"/>
    </w:p>
    <w:p w14:paraId="3BE0178D" w14:textId="77777777" w:rsidR="007C6023" w:rsidRPr="00937EF7" w:rsidRDefault="007C6023" w:rsidP="0000419E">
      <w:pPr>
        <w:pStyle w:val="TableFigure"/>
        <w:rPr>
          <w:lang w:eastAsia="en-US"/>
        </w:rPr>
      </w:pPr>
    </w:p>
    <w:p w14:paraId="1EF45205" w14:textId="51467EF6" w:rsidR="007C6023" w:rsidRPr="00937EF7" w:rsidRDefault="007C6023" w:rsidP="0000419E">
      <w:pPr>
        <w:pStyle w:val="TableFigure"/>
        <w:rPr>
          <w:lang w:eastAsia="en-US"/>
        </w:rPr>
      </w:pPr>
      <w:r w:rsidRPr="00937EF7">
        <w:rPr>
          <w:lang w:eastAsia="en-US"/>
        </w:rPr>
        <w:drawing>
          <wp:inline distT="0" distB="0" distL="0" distR="0" wp14:anchorId="188193D6" wp14:editId="10124B60">
            <wp:extent cx="6196819" cy="663995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BD.jpg"/>
                    <pic:cNvPicPr/>
                  </pic:nvPicPr>
                  <pic:blipFill>
                    <a:blip r:embed="rId17">
                      <a:extLst>
                        <a:ext uri="{28A0092B-C50C-407E-A947-70E740481C1C}">
                          <a14:useLocalDpi xmlns:a14="http://schemas.microsoft.com/office/drawing/2010/main" val="0"/>
                        </a:ext>
                      </a:extLst>
                    </a:blip>
                    <a:stretch>
                      <a:fillRect/>
                    </a:stretch>
                  </pic:blipFill>
                  <pic:spPr>
                    <a:xfrm>
                      <a:off x="0" y="0"/>
                      <a:ext cx="6196819" cy="6639951"/>
                    </a:xfrm>
                    <a:prstGeom prst="rect">
                      <a:avLst/>
                    </a:prstGeom>
                  </pic:spPr>
                </pic:pic>
              </a:graphicData>
            </a:graphic>
          </wp:inline>
        </w:drawing>
      </w:r>
    </w:p>
    <w:p w14:paraId="1DFB3C78" w14:textId="77777777" w:rsidR="007C6023" w:rsidRPr="00937EF7" w:rsidRDefault="007C6023" w:rsidP="0000419E">
      <w:pPr>
        <w:pStyle w:val="TableFigure"/>
      </w:pPr>
    </w:p>
    <w:p w14:paraId="564591EE" w14:textId="503B5099" w:rsidR="007C6023" w:rsidRPr="00937EF7" w:rsidRDefault="007C6023" w:rsidP="0000419E">
      <w:pPr>
        <w:spacing w:line="240" w:lineRule="auto"/>
        <w:rPr>
          <w:rFonts w:cs="Times New Roman"/>
        </w:rPr>
      </w:pPr>
      <w:r w:rsidRPr="00937EF7">
        <w:rPr>
          <w:rFonts w:cs="Times New Roman"/>
        </w:rPr>
        <w:t>Source: https</w:t>
      </w:r>
      <w:r w:rsidR="00E70205">
        <w:rPr>
          <w:rFonts w:cs="Times New Roman"/>
        </w:rPr>
        <w:t>://</w:t>
      </w:r>
      <w:r w:rsidRPr="00937EF7">
        <w:rPr>
          <w:rFonts w:cs="Times New Roman"/>
        </w:rPr>
        <w:t>www.un.orggeospatialcontentbangladesh-0</w:t>
      </w:r>
    </w:p>
    <w:p w14:paraId="3DAAE3E0" w14:textId="1C03BBBA" w:rsidR="006D5F0B" w:rsidRPr="00937EF7" w:rsidRDefault="006D5F0B" w:rsidP="0000419E">
      <w:pPr>
        <w:pStyle w:val="FigureTableSources"/>
        <w:spacing w:line="240" w:lineRule="auto"/>
      </w:pPr>
    </w:p>
    <w:p w14:paraId="6C5E7BC8" w14:textId="2B772B8A" w:rsidR="002B20F2" w:rsidRPr="00937EF7" w:rsidRDefault="001C7688" w:rsidP="0000419E">
      <w:pPr>
        <w:pStyle w:val="Heading1"/>
        <w:spacing w:line="240" w:lineRule="auto"/>
      </w:pPr>
      <w:bookmarkStart w:id="2" w:name="_Toc51847920"/>
      <w:r w:rsidRPr="00937EF7">
        <w:lastRenderedPageBreak/>
        <w:t>Introduction</w:t>
      </w:r>
      <w:r w:rsidR="0014587D" w:rsidRPr="00937EF7">
        <w:t xml:space="preserve"> to the Country</w:t>
      </w:r>
      <w:bookmarkEnd w:id="2"/>
      <w:r w:rsidR="00937EF7">
        <w:t>: BANGLADESH</w:t>
      </w:r>
    </w:p>
    <w:p w14:paraId="13CCB350" w14:textId="77777777" w:rsidR="00976A51" w:rsidRPr="00937EF7" w:rsidRDefault="00976A51" w:rsidP="0000419E">
      <w:pPr>
        <w:pStyle w:val="NormalWeb"/>
        <w:spacing w:before="0" w:beforeAutospacing="0" w:after="0" w:afterAutospacing="0"/>
        <w:jc w:val="both"/>
        <w:rPr>
          <w:rFonts w:asciiTheme="minorHAnsi" w:hAnsiTheme="minorHAnsi"/>
          <w:lang w:bidi="bn-IN"/>
        </w:rPr>
      </w:pPr>
    </w:p>
    <w:p w14:paraId="1495DE8F" w14:textId="626CFC4C" w:rsidR="003962C3" w:rsidRPr="00937EF7" w:rsidRDefault="00DB6235" w:rsidP="0000419E">
      <w:pPr>
        <w:pStyle w:val="NormalWeb"/>
        <w:spacing w:before="0" w:beforeAutospacing="0" w:after="0" w:afterAutospacing="0"/>
        <w:jc w:val="both"/>
        <w:rPr>
          <w:rFonts w:asciiTheme="minorHAnsi" w:hAnsiTheme="minorHAnsi"/>
          <w:lang w:bidi="bn-IN"/>
        </w:rPr>
      </w:pPr>
      <w:r w:rsidRPr="00937EF7">
        <w:rPr>
          <w:rFonts w:asciiTheme="minorHAnsi" w:hAnsiTheme="minorHAnsi"/>
          <w:lang w:bidi="bn-IN"/>
        </w:rPr>
        <w:t xml:space="preserve">Bangladesh, officially the People's Republic of Bangladesh, is a country in South Asia. It is the eighth-most-populous country in the world, with a population of around 165.1 million people in an area of 148,460 square </w:t>
      </w:r>
      <w:proofErr w:type="spellStart"/>
      <w:r w:rsidRPr="00937EF7">
        <w:rPr>
          <w:rFonts w:asciiTheme="minorHAnsi" w:hAnsiTheme="minorHAnsi"/>
          <w:lang w:bidi="bn-IN"/>
        </w:rPr>
        <w:t>kilometres</w:t>
      </w:r>
      <w:proofErr w:type="spellEnd"/>
      <w:r w:rsidRPr="00937EF7">
        <w:rPr>
          <w:rFonts w:asciiTheme="minorHAnsi" w:hAnsiTheme="minorHAnsi"/>
          <w:lang w:bidi="bn-IN"/>
        </w:rPr>
        <w:t xml:space="preserve">. Bangladesh is among the most densely populated countries in the world, and shares land borders with India to the west, north, and east, and Myanmar to the southeast; to the south it has a </w:t>
      </w:r>
      <w:r w:rsidR="00EA546F" w:rsidRPr="00937EF7">
        <w:rPr>
          <w:rFonts w:asciiTheme="minorHAnsi" w:hAnsiTheme="minorHAnsi"/>
          <w:lang w:bidi="bn-IN"/>
        </w:rPr>
        <w:t xml:space="preserve">long </w:t>
      </w:r>
      <w:r w:rsidRPr="00937EF7">
        <w:rPr>
          <w:rFonts w:asciiTheme="minorHAnsi" w:hAnsiTheme="minorHAnsi"/>
          <w:lang w:bidi="bn-IN"/>
        </w:rPr>
        <w:t>coastline along the Bay of Bengal.</w:t>
      </w:r>
      <w:r w:rsidR="00320F71" w:rsidRPr="00937EF7">
        <w:rPr>
          <w:rFonts w:asciiTheme="minorHAnsi" w:hAnsiTheme="minorHAnsi"/>
          <w:lang w:bidi="bn-IN"/>
        </w:rPr>
        <w:t xml:space="preserve"> It</w:t>
      </w:r>
      <w:r w:rsidR="00976A51" w:rsidRPr="00937EF7">
        <w:rPr>
          <w:rFonts w:asciiTheme="minorHAnsi" w:hAnsiTheme="minorHAnsi"/>
          <w:lang w:bidi="bn-IN"/>
        </w:rPr>
        <w:t xml:space="preserve"> lies very close to Nepal, Bhutan, and China.</w:t>
      </w:r>
      <w:r w:rsidR="0021252E" w:rsidRPr="00937EF7">
        <w:rPr>
          <w:rFonts w:asciiTheme="minorHAnsi" w:hAnsiTheme="minorHAnsi"/>
          <w:lang w:bidi="bn-IN"/>
        </w:rPr>
        <w:t xml:space="preserve"> Geographical position of the country makes it vulnerable to occasional natural disasters often forcing people to leave their homes. </w:t>
      </w:r>
    </w:p>
    <w:p w14:paraId="35E2A9B6" w14:textId="77777777" w:rsidR="00ED1A4D" w:rsidRPr="00937EF7" w:rsidRDefault="00ED1A4D" w:rsidP="0000419E">
      <w:pPr>
        <w:pStyle w:val="NormalWeb"/>
        <w:spacing w:before="0" w:beforeAutospacing="0" w:after="0" w:afterAutospacing="0"/>
        <w:jc w:val="both"/>
        <w:rPr>
          <w:rFonts w:asciiTheme="minorHAnsi" w:hAnsiTheme="minorHAnsi"/>
          <w:lang w:bidi="bn-IN"/>
        </w:rPr>
      </w:pPr>
    </w:p>
    <w:p w14:paraId="53957B11" w14:textId="5F537149" w:rsidR="00ED1A4D" w:rsidRPr="00937EF7" w:rsidRDefault="00ED1A4D" w:rsidP="0000419E">
      <w:pPr>
        <w:pStyle w:val="NormalWeb"/>
        <w:spacing w:before="0" w:beforeAutospacing="0" w:after="0" w:afterAutospacing="0"/>
        <w:jc w:val="both"/>
        <w:rPr>
          <w:rFonts w:asciiTheme="minorHAnsi" w:hAnsiTheme="minorHAnsi"/>
          <w:lang w:bidi="bn-IN"/>
        </w:rPr>
      </w:pPr>
      <w:r w:rsidRPr="00937EF7">
        <w:rPr>
          <w:rFonts w:asciiTheme="minorHAnsi" w:hAnsiTheme="minorHAnsi"/>
          <w:lang w:bidi="bn-IN"/>
        </w:rPr>
        <w:t xml:space="preserve">Politics of Bangladesh takes place in a framework of a parliamentary representative democratic republic, whereby the Prime Minister of Bangladesh is the head of government, and of a multi-party system. Executive power is exercised by the government. Legislative power is vested in both the government and parliament. The Constitution of Bangladesh was written in 1972 and has undergone seventeen amendments. The three major parties in Bangladesh are the Bangladesh Nationalist Party (BNP) and Bangladesh </w:t>
      </w:r>
      <w:proofErr w:type="spellStart"/>
      <w:r w:rsidRPr="00937EF7">
        <w:rPr>
          <w:rFonts w:asciiTheme="minorHAnsi" w:hAnsiTheme="minorHAnsi"/>
          <w:lang w:bidi="bn-IN"/>
        </w:rPr>
        <w:t>Awami</w:t>
      </w:r>
      <w:proofErr w:type="spellEnd"/>
      <w:r w:rsidRPr="00937EF7">
        <w:rPr>
          <w:rFonts w:asciiTheme="minorHAnsi" w:hAnsiTheme="minorHAnsi"/>
          <w:lang w:bidi="bn-IN"/>
        </w:rPr>
        <w:t xml:space="preserve"> League and </w:t>
      </w:r>
      <w:proofErr w:type="spellStart"/>
      <w:r w:rsidRPr="00937EF7">
        <w:rPr>
          <w:rFonts w:asciiTheme="minorHAnsi" w:hAnsiTheme="minorHAnsi"/>
          <w:lang w:bidi="bn-IN"/>
        </w:rPr>
        <w:t>Jatiya</w:t>
      </w:r>
      <w:proofErr w:type="spellEnd"/>
      <w:r w:rsidRPr="00937EF7">
        <w:rPr>
          <w:rFonts w:asciiTheme="minorHAnsi" w:hAnsiTheme="minorHAnsi"/>
          <w:lang w:bidi="bn-IN"/>
        </w:rPr>
        <w:t xml:space="preserve"> Party.</w:t>
      </w:r>
      <w:r w:rsidR="0012603C" w:rsidRPr="00937EF7">
        <w:rPr>
          <w:rFonts w:asciiTheme="minorHAnsi" w:hAnsiTheme="minorHAnsi"/>
          <w:lang w:bidi="bn-IN"/>
        </w:rPr>
        <w:t xml:space="preserve"> The current prime minister is Sheikh </w:t>
      </w:r>
      <w:proofErr w:type="spellStart"/>
      <w:r w:rsidR="0012603C" w:rsidRPr="00937EF7">
        <w:rPr>
          <w:rFonts w:asciiTheme="minorHAnsi" w:hAnsiTheme="minorHAnsi"/>
          <w:lang w:bidi="bn-IN"/>
        </w:rPr>
        <w:t>Hasina</w:t>
      </w:r>
      <w:proofErr w:type="spellEnd"/>
      <w:r w:rsidR="0012603C" w:rsidRPr="00937EF7">
        <w:rPr>
          <w:rFonts w:asciiTheme="minorHAnsi" w:hAnsiTheme="minorHAnsi"/>
          <w:lang w:bidi="bn-IN"/>
        </w:rPr>
        <w:t xml:space="preserve">, leader of the Bangladesh </w:t>
      </w:r>
      <w:proofErr w:type="spellStart"/>
      <w:r w:rsidR="0012603C" w:rsidRPr="00937EF7">
        <w:rPr>
          <w:rFonts w:asciiTheme="minorHAnsi" w:hAnsiTheme="minorHAnsi"/>
          <w:lang w:bidi="bn-IN"/>
        </w:rPr>
        <w:t>Awami</w:t>
      </w:r>
      <w:proofErr w:type="spellEnd"/>
      <w:r w:rsidR="0012603C" w:rsidRPr="00937EF7">
        <w:rPr>
          <w:rFonts w:asciiTheme="minorHAnsi" w:hAnsiTheme="minorHAnsi"/>
          <w:lang w:bidi="bn-IN"/>
        </w:rPr>
        <w:t xml:space="preserve"> League, who was sworn-in by the president on 6 January 2009 following the general election on 29 December 2008.</w:t>
      </w:r>
      <w:r w:rsidR="00C3534D" w:rsidRPr="00937EF7">
        <w:rPr>
          <w:rFonts w:asciiTheme="minorHAnsi" w:hAnsiTheme="minorHAnsi"/>
          <w:lang w:bidi="bn-IN"/>
        </w:rPr>
        <w:t xml:space="preserve"> The country suffered successions of political turmoil which sometimes spurred people’s decision to take refuge abroad.</w:t>
      </w:r>
    </w:p>
    <w:p w14:paraId="060BE895" w14:textId="77777777" w:rsidR="00ED1A4D" w:rsidRPr="00937EF7" w:rsidRDefault="00ED1A4D" w:rsidP="0000419E">
      <w:pPr>
        <w:pStyle w:val="NormalWeb"/>
        <w:spacing w:before="0" w:beforeAutospacing="0" w:after="0" w:afterAutospacing="0"/>
        <w:jc w:val="both"/>
        <w:rPr>
          <w:rFonts w:asciiTheme="minorHAnsi" w:hAnsiTheme="minorHAnsi"/>
          <w:lang w:bidi="bn-IN"/>
        </w:rPr>
      </w:pPr>
    </w:p>
    <w:p w14:paraId="36631A1A" w14:textId="53FC3BA0" w:rsidR="00DB6235" w:rsidRPr="00937EF7" w:rsidRDefault="00E80B98" w:rsidP="0000419E">
      <w:pPr>
        <w:pStyle w:val="NormalWeb"/>
        <w:spacing w:before="0" w:beforeAutospacing="0" w:after="0" w:afterAutospacing="0"/>
        <w:jc w:val="both"/>
        <w:rPr>
          <w:rFonts w:asciiTheme="minorHAnsi" w:hAnsiTheme="minorHAnsi"/>
          <w:lang w:bidi="bn-IN"/>
        </w:rPr>
      </w:pPr>
      <w:r w:rsidRPr="00937EF7">
        <w:rPr>
          <w:rFonts w:asciiTheme="minorHAnsi" w:hAnsiTheme="minorHAnsi"/>
          <w:lang w:bidi="bn-IN"/>
        </w:rPr>
        <w:t xml:space="preserve">The economy </w:t>
      </w:r>
      <w:r w:rsidR="007863D7">
        <w:rPr>
          <w:rFonts w:asciiTheme="minorHAnsi" w:hAnsiTheme="minorHAnsi"/>
          <w:lang w:bidi="bn-IN"/>
        </w:rPr>
        <w:t xml:space="preserve">of Bangladesh </w:t>
      </w:r>
      <w:r w:rsidR="003B3468">
        <w:rPr>
          <w:rFonts w:asciiTheme="minorHAnsi" w:hAnsiTheme="minorHAnsi"/>
          <w:lang w:bidi="bn-IN"/>
        </w:rPr>
        <w:t>hinges on three pillars</w:t>
      </w:r>
      <w:r w:rsidR="00EF79ED">
        <w:rPr>
          <w:rFonts w:asciiTheme="minorHAnsi" w:hAnsiTheme="minorHAnsi"/>
          <w:lang w:bidi="bn-IN"/>
        </w:rPr>
        <w:t xml:space="preserve">: agriculture, garments and remittance sent by the migrant workers. </w:t>
      </w:r>
      <w:r w:rsidRPr="00937EF7">
        <w:rPr>
          <w:rFonts w:asciiTheme="minorHAnsi" w:hAnsiTheme="minorHAnsi"/>
          <w:lang w:bidi="bn-IN"/>
        </w:rPr>
        <w:t>Bangladesh</w:t>
      </w:r>
      <w:r w:rsidR="00EF79ED">
        <w:rPr>
          <w:rFonts w:asciiTheme="minorHAnsi" w:hAnsiTheme="minorHAnsi"/>
          <w:lang w:bidi="bn-IN"/>
        </w:rPr>
        <w:t xml:space="preserve"> gained independence from Pakistan in 1971 when </w:t>
      </w:r>
      <w:r w:rsidRPr="00937EF7">
        <w:rPr>
          <w:rFonts w:asciiTheme="minorHAnsi" w:hAnsiTheme="minorHAnsi"/>
          <w:lang w:bidi="bn-IN"/>
        </w:rPr>
        <w:t xml:space="preserve">the country was one of the poorest in the world. However, the early 1990s marked large-scale trade </w:t>
      </w:r>
      <w:r w:rsidR="00402BD7" w:rsidRPr="00937EF7">
        <w:rPr>
          <w:rFonts w:asciiTheme="minorHAnsi" w:hAnsiTheme="minorHAnsi"/>
          <w:lang w:bidi="bn-IN"/>
        </w:rPr>
        <w:t>liberalization</w:t>
      </w:r>
      <w:r w:rsidRPr="00937EF7">
        <w:rPr>
          <w:rFonts w:asciiTheme="minorHAnsi" w:hAnsiTheme="minorHAnsi"/>
          <w:lang w:bidi="bn-IN"/>
        </w:rPr>
        <w:t xml:space="preserve"> followed by high economic growth in the 2000s, mitigating the poverty situation in the country to a large extent—poverty declined to 14.3 percent in 2016 from 43.5 percent in 1991 (based on the International poverty line of US$ 1.90 per day using the 2011 Purchasing Power Parity exchange rate). Despite this, economic inequality has been on the rise in Bangladesh since the 1980s, and as of 2021, only 1 percent of the population holds 16.3 percent of the country’s national income. The country had graduated from a low-income country to a lower middle-income country in 2015 and is on track to make it to the list of least developed countries by 2026, en</w:t>
      </w:r>
      <w:r w:rsidR="00F87C21">
        <w:rPr>
          <w:rFonts w:asciiTheme="minorHAnsi" w:hAnsiTheme="minorHAnsi"/>
          <w:lang w:bidi="bn-IN"/>
        </w:rPr>
        <w:t xml:space="preserve"> </w:t>
      </w:r>
      <w:r w:rsidRPr="00937EF7">
        <w:rPr>
          <w:rFonts w:asciiTheme="minorHAnsi" w:hAnsiTheme="minorHAnsi"/>
          <w:lang w:bidi="bn-IN"/>
        </w:rPr>
        <w:t>route to its vision of becoming a developed country by 2041.</w:t>
      </w:r>
      <w:r w:rsidR="00DE303C">
        <w:rPr>
          <w:rFonts w:asciiTheme="minorHAnsi" w:hAnsiTheme="minorHAnsi"/>
          <w:lang w:bidi="bn-IN"/>
        </w:rPr>
        <w:t xml:space="preserve"> (Wikipedia)</w:t>
      </w:r>
    </w:p>
    <w:p w14:paraId="5487E0F9" w14:textId="77777777" w:rsidR="003962C3" w:rsidRPr="00937EF7" w:rsidRDefault="003962C3" w:rsidP="0000419E">
      <w:pPr>
        <w:pStyle w:val="NormalWeb"/>
        <w:spacing w:before="0" w:beforeAutospacing="0" w:after="0" w:afterAutospacing="0"/>
        <w:jc w:val="both"/>
        <w:rPr>
          <w:rFonts w:asciiTheme="minorHAnsi" w:hAnsiTheme="minorHAnsi"/>
          <w:lang w:bidi="bn-IN"/>
        </w:rPr>
      </w:pPr>
    </w:p>
    <w:p w14:paraId="761921DE" w14:textId="2C7EF77B" w:rsidR="007C7A41" w:rsidRPr="00937EF7" w:rsidRDefault="007C7A41" w:rsidP="0000419E">
      <w:pPr>
        <w:pStyle w:val="NormalWeb"/>
        <w:spacing w:before="0" w:beforeAutospacing="0" w:after="0" w:afterAutospacing="0"/>
        <w:jc w:val="both"/>
        <w:rPr>
          <w:rFonts w:asciiTheme="minorHAnsi" w:hAnsiTheme="minorHAnsi"/>
        </w:rPr>
      </w:pPr>
      <w:proofErr w:type="spellStart"/>
      <w:r w:rsidRPr="00937EF7">
        <w:rPr>
          <w:rFonts w:asciiTheme="minorHAnsi" w:hAnsiTheme="minorHAnsi"/>
          <w:lang w:bidi="bn-IN"/>
        </w:rPr>
        <w:t>Labour</w:t>
      </w:r>
      <w:proofErr w:type="spellEnd"/>
      <w:r w:rsidRPr="00937EF7">
        <w:rPr>
          <w:rFonts w:asciiTheme="minorHAnsi" w:hAnsiTheme="minorHAnsi"/>
          <w:lang w:bidi="bn-IN"/>
        </w:rPr>
        <w:t xml:space="preserve"> migration from Bangladesh has its roots since independence. Immediately after independence, the country experienced extremely fragile economy. People suffered stark poverty, faced stark starvation and sordid reality. Both these curses prompted them to look for a new lease of life beyond the borders of the country – a life full of expectation, good salary and social security free from financial destitution and life threat. Other drivers include natural calamities, political unrest, violence, conflict</w:t>
      </w:r>
      <w:r w:rsidR="003E5FBB" w:rsidRPr="00937EF7">
        <w:rPr>
          <w:rFonts w:asciiTheme="minorHAnsi" w:hAnsiTheme="minorHAnsi"/>
          <w:lang w:bidi="bn-IN"/>
        </w:rPr>
        <w:t xml:space="preserve">, lack of employment opportunities, low salary and income, etc. </w:t>
      </w:r>
      <w:r w:rsidRPr="00937EF7">
        <w:rPr>
          <w:rFonts w:asciiTheme="minorHAnsi" w:hAnsiTheme="minorHAnsi"/>
          <w:lang w:bidi="bn-IN"/>
        </w:rPr>
        <w:t xml:space="preserve">Aspirant people started to make their ways outside the country for work and set their </w:t>
      </w:r>
      <w:r w:rsidRPr="00937EF7">
        <w:rPr>
          <w:rFonts w:asciiTheme="minorHAnsi" w:hAnsiTheme="minorHAnsi"/>
          <w:lang w:bidi="bn-IN"/>
        </w:rPr>
        <w:lastRenderedPageBreak/>
        <w:t xml:space="preserve">destinations mainly in the Middle Eastern countries. </w:t>
      </w:r>
      <w:r w:rsidRPr="00937EF7">
        <w:rPr>
          <w:rFonts w:asciiTheme="minorHAnsi" w:hAnsiTheme="minorHAnsi"/>
        </w:rPr>
        <w:t xml:space="preserve">Each year, more than 700,000 migrant workers leave the country for overseas employment. Problems faced by Bangladeshi migrants include: high fees for migration charged by recruiting agencies, especially for low skilled jobs; low wages, lack of information on migration opportunities and risks; discrimination, exploitation and abuse while overseas; and insufficient services to protect the rights of migrant workers. </w:t>
      </w:r>
    </w:p>
    <w:p w14:paraId="4C860595" w14:textId="77777777" w:rsidR="00AF57CA" w:rsidRDefault="00AF57CA" w:rsidP="0000419E">
      <w:pPr>
        <w:pStyle w:val="NormalWeb"/>
        <w:spacing w:before="0" w:beforeAutospacing="0" w:after="0" w:afterAutospacing="0"/>
        <w:jc w:val="both"/>
        <w:rPr>
          <w:rFonts w:asciiTheme="minorHAnsi" w:hAnsiTheme="minorHAnsi"/>
          <w:lang w:bidi="bn-IN"/>
        </w:rPr>
      </w:pPr>
    </w:p>
    <w:p w14:paraId="3BD0A089" w14:textId="2C3CFF51" w:rsidR="007C7A41" w:rsidRPr="00937EF7" w:rsidRDefault="007C7A41" w:rsidP="0000419E">
      <w:pPr>
        <w:pStyle w:val="NormalWeb"/>
        <w:spacing w:before="0" w:beforeAutospacing="0" w:after="0" w:afterAutospacing="0"/>
        <w:jc w:val="both"/>
        <w:rPr>
          <w:rFonts w:asciiTheme="minorHAnsi" w:hAnsiTheme="minorHAnsi"/>
          <w:lang w:bidi="bn-IN"/>
        </w:rPr>
      </w:pPr>
      <w:r w:rsidRPr="00937EF7">
        <w:rPr>
          <w:rFonts w:asciiTheme="minorHAnsi" w:hAnsiTheme="minorHAnsi"/>
          <w:lang w:bidi="bn-IN"/>
        </w:rPr>
        <w:t>Overseas employment plays an instrumental role in easing the pressure on the do</w:t>
      </w:r>
      <w:r w:rsidR="00515395" w:rsidRPr="00937EF7">
        <w:rPr>
          <w:rFonts w:asciiTheme="minorHAnsi" w:hAnsiTheme="minorHAnsi"/>
          <w:lang w:bidi="bn-IN"/>
        </w:rPr>
        <w:t xml:space="preserve">mestic </w:t>
      </w:r>
      <w:proofErr w:type="spellStart"/>
      <w:r w:rsidR="00515395" w:rsidRPr="00937EF7">
        <w:rPr>
          <w:rFonts w:asciiTheme="minorHAnsi" w:hAnsiTheme="minorHAnsi"/>
          <w:lang w:bidi="bn-IN"/>
        </w:rPr>
        <w:t>labour</w:t>
      </w:r>
      <w:proofErr w:type="spellEnd"/>
      <w:r w:rsidR="00515395" w:rsidRPr="00937EF7">
        <w:rPr>
          <w:rFonts w:asciiTheme="minorHAnsi" w:hAnsiTheme="minorHAnsi"/>
          <w:lang w:bidi="bn-IN"/>
        </w:rPr>
        <w:t xml:space="preserve"> market. With more than</w:t>
      </w:r>
      <w:r w:rsidRPr="00937EF7">
        <w:rPr>
          <w:rFonts w:asciiTheme="minorHAnsi" w:hAnsiTheme="minorHAnsi"/>
          <w:lang w:bidi="bn-IN"/>
        </w:rPr>
        <w:t xml:space="preserve"> 2 million people entering the </w:t>
      </w:r>
      <w:proofErr w:type="spellStart"/>
      <w:r w:rsidRPr="00937EF7">
        <w:rPr>
          <w:rFonts w:asciiTheme="minorHAnsi" w:hAnsiTheme="minorHAnsi"/>
          <w:lang w:bidi="bn-IN"/>
        </w:rPr>
        <w:t>labour</w:t>
      </w:r>
      <w:proofErr w:type="spellEnd"/>
      <w:r w:rsidRPr="00937EF7">
        <w:rPr>
          <w:rFonts w:asciiTheme="minorHAnsi" w:hAnsiTheme="minorHAnsi"/>
          <w:lang w:bidi="bn-IN"/>
        </w:rPr>
        <w:t xml:space="preserve"> force annually during recent times, the current rate of economic growth in Bangladesh has not been able to create</w:t>
      </w:r>
      <w:r w:rsidRPr="00937EF7">
        <w:rPr>
          <w:rFonts w:asciiTheme="minorHAnsi" w:hAnsiTheme="minorHAnsi"/>
        </w:rPr>
        <w:t xml:space="preserve"> </w:t>
      </w:r>
      <w:r w:rsidRPr="00937EF7">
        <w:rPr>
          <w:rFonts w:asciiTheme="minorHAnsi" w:hAnsiTheme="minorHAnsi"/>
          <w:lang w:bidi="bn-IN"/>
        </w:rPr>
        <w:t xml:space="preserve">employment quickly enough to fully absorb new workers. Training young aspirant people in trades on demand, making them skilled, searching for new </w:t>
      </w:r>
      <w:proofErr w:type="spellStart"/>
      <w:r w:rsidRPr="00937EF7">
        <w:rPr>
          <w:rFonts w:asciiTheme="minorHAnsi" w:hAnsiTheme="minorHAnsi"/>
          <w:lang w:bidi="bn-IN"/>
        </w:rPr>
        <w:t>labour</w:t>
      </w:r>
      <w:proofErr w:type="spellEnd"/>
      <w:r w:rsidRPr="00937EF7">
        <w:rPr>
          <w:rFonts w:asciiTheme="minorHAnsi" w:hAnsiTheme="minorHAnsi"/>
          <w:lang w:bidi="bn-IN"/>
        </w:rPr>
        <w:t xml:space="preserve"> markets to accommodate these trainees and sending them abroad will spur the economy. </w:t>
      </w:r>
    </w:p>
    <w:p w14:paraId="4DAB85BB" w14:textId="77777777" w:rsidR="007C7A41" w:rsidRPr="00937EF7" w:rsidRDefault="007C7A41" w:rsidP="0000419E">
      <w:pPr>
        <w:pStyle w:val="NormalWeb"/>
        <w:spacing w:before="0" w:beforeAutospacing="0" w:after="0" w:afterAutospacing="0"/>
        <w:jc w:val="both"/>
        <w:rPr>
          <w:rFonts w:asciiTheme="minorHAnsi" w:hAnsiTheme="minorHAnsi"/>
        </w:rPr>
      </w:pPr>
    </w:p>
    <w:p w14:paraId="4836283B" w14:textId="77777777" w:rsidR="007C7A41" w:rsidRDefault="007C7A41" w:rsidP="0000419E">
      <w:pPr>
        <w:pStyle w:val="NormalWeb"/>
        <w:spacing w:before="0" w:beforeAutospacing="0" w:after="0" w:afterAutospacing="0"/>
        <w:jc w:val="both"/>
        <w:rPr>
          <w:rFonts w:asciiTheme="minorHAnsi" w:hAnsiTheme="minorHAnsi"/>
          <w:lang w:bidi="bn-IN"/>
        </w:rPr>
      </w:pPr>
      <w:r w:rsidRPr="00937EF7">
        <w:rPr>
          <w:rFonts w:asciiTheme="minorHAnsi" w:hAnsiTheme="minorHAnsi"/>
          <w:lang w:bidi="bn-IN"/>
        </w:rPr>
        <w:t xml:space="preserve">The contribution of </w:t>
      </w:r>
      <w:proofErr w:type="spellStart"/>
      <w:r w:rsidRPr="00937EF7">
        <w:rPr>
          <w:rFonts w:asciiTheme="minorHAnsi" w:hAnsiTheme="minorHAnsi"/>
          <w:lang w:bidi="bn-IN"/>
        </w:rPr>
        <w:t>labour</w:t>
      </w:r>
      <w:proofErr w:type="spellEnd"/>
      <w:r w:rsidRPr="00937EF7">
        <w:rPr>
          <w:rFonts w:asciiTheme="minorHAnsi" w:hAnsiTheme="minorHAnsi"/>
          <w:lang w:bidi="bn-IN"/>
        </w:rPr>
        <w:t xml:space="preserve"> migration to poverty alleviation is noteworthy, with remittances boosting household consumption and savings significantly. Families of migrants in Bangladesh can lead easeful life. They can make room for good food, lodging, education for children, good treatment when in dire need and so on. Remittances also have a positive impact on the balance of payments and help offset deficits in the balance of trade in goods and services. </w:t>
      </w:r>
    </w:p>
    <w:p w14:paraId="5C093DCC" w14:textId="77777777" w:rsidR="00B33999" w:rsidRDefault="00B33999" w:rsidP="0000419E">
      <w:pPr>
        <w:pStyle w:val="NormalWeb"/>
        <w:spacing w:before="0" w:beforeAutospacing="0" w:after="0" w:afterAutospacing="0"/>
        <w:jc w:val="both"/>
        <w:rPr>
          <w:rFonts w:asciiTheme="minorHAnsi" w:hAnsiTheme="minorHAnsi"/>
          <w:lang w:bidi="bn-IN"/>
        </w:rPr>
      </w:pPr>
    </w:p>
    <w:p w14:paraId="643C564C" w14:textId="77777777" w:rsidR="00B33999" w:rsidRPr="00B33999" w:rsidRDefault="00B33999" w:rsidP="00B33999">
      <w:pPr>
        <w:pStyle w:val="NormalWeb"/>
        <w:spacing w:before="0" w:beforeAutospacing="0" w:after="0" w:afterAutospacing="0"/>
        <w:rPr>
          <w:rFonts w:asciiTheme="minorHAnsi" w:hAnsiTheme="minorHAnsi"/>
          <w:b/>
          <w:lang w:bidi="bn-IN"/>
        </w:rPr>
      </w:pPr>
      <w:r w:rsidRPr="00B33999">
        <w:rPr>
          <w:rFonts w:asciiTheme="minorHAnsi" w:hAnsiTheme="minorHAnsi"/>
          <w:b/>
          <w:lang w:bidi="bn-IN"/>
        </w:rPr>
        <w:t xml:space="preserve">Achievements in </w:t>
      </w:r>
      <w:proofErr w:type="spellStart"/>
      <w:r w:rsidRPr="00B33999">
        <w:rPr>
          <w:rFonts w:asciiTheme="minorHAnsi" w:hAnsiTheme="minorHAnsi"/>
          <w:b/>
          <w:lang w:bidi="bn-IN"/>
        </w:rPr>
        <w:t>Labour</w:t>
      </w:r>
      <w:proofErr w:type="spellEnd"/>
      <w:r w:rsidRPr="00B33999">
        <w:rPr>
          <w:rFonts w:asciiTheme="minorHAnsi" w:hAnsiTheme="minorHAnsi"/>
          <w:b/>
          <w:lang w:bidi="bn-IN"/>
        </w:rPr>
        <w:t xml:space="preserve"> Migration Governance</w:t>
      </w:r>
    </w:p>
    <w:p w14:paraId="7A32DEC2"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 xml:space="preserve">Reopening of </w:t>
      </w:r>
      <w:proofErr w:type="spellStart"/>
      <w:r w:rsidRPr="00B33999">
        <w:rPr>
          <w:rFonts w:asciiTheme="minorHAnsi" w:hAnsiTheme="minorHAnsi"/>
          <w:lang w:bidi="bn-IN"/>
        </w:rPr>
        <w:t>labour</w:t>
      </w:r>
      <w:proofErr w:type="spellEnd"/>
      <w:r w:rsidRPr="00B33999">
        <w:rPr>
          <w:rFonts w:asciiTheme="minorHAnsi" w:hAnsiTheme="minorHAnsi"/>
          <w:lang w:bidi="bn-IN"/>
        </w:rPr>
        <w:t xml:space="preserve"> markets in some countries; </w:t>
      </w:r>
    </w:p>
    <w:p w14:paraId="0C98AF17"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 xml:space="preserve">Enactment of laws, policies and rules; </w:t>
      </w:r>
    </w:p>
    <w:p w14:paraId="5881CD83"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 xml:space="preserve">Expansion of </w:t>
      </w:r>
      <w:proofErr w:type="spellStart"/>
      <w:r w:rsidRPr="00B33999">
        <w:rPr>
          <w:rFonts w:asciiTheme="minorHAnsi" w:hAnsiTheme="minorHAnsi"/>
          <w:lang w:bidi="bn-IN"/>
        </w:rPr>
        <w:t>Labour</w:t>
      </w:r>
      <w:proofErr w:type="spellEnd"/>
      <w:r w:rsidRPr="00B33999">
        <w:rPr>
          <w:rFonts w:asciiTheme="minorHAnsi" w:hAnsiTheme="minorHAnsi"/>
          <w:lang w:bidi="bn-IN"/>
        </w:rPr>
        <w:t xml:space="preserve"> Welfare Wings and Increase of Staff;</w:t>
      </w:r>
    </w:p>
    <w:p w14:paraId="06B5F15C"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r>
      <w:proofErr w:type="spellStart"/>
      <w:r w:rsidRPr="00B33999">
        <w:rPr>
          <w:rFonts w:asciiTheme="minorHAnsi" w:hAnsiTheme="minorHAnsi"/>
          <w:lang w:bidi="bn-IN"/>
        </w:rPr>
        <w:t>Labour</w:t>
      </w:r>
      <w:proofErr w:type="spellEnd"/>
      <w:r w:rsidRPr="00B33999">
        <w:rPr>
          <w:rFonts w:asciiTheme="minorHAnsi" w:hAnsiTheme="minorHAnsi"/>
          <w:lang w:bidi="bn-IN"/>
        </w:rPr>
        <w:t xml:space="preserve"> Market Analysis in 53 countries;</w:t>
      </w:r>
    </w:p>
    <w:p w14:paraId="0CF916F0"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 xml:space="preserve">Constructing Technical </w:t>
      </w:r>
      <w:proofErr w:type="spellStart"/>
      <w:r w:rsidRPr="00B33999">
        <w:rPr>
          <w:rFonts w:asciiTheme="minorHAnsi" w:hAnsiTheme="minorHAnsi"/>
          <w:lang w:bidi="bn-IN"/>
        </w:rPr>
        <w:t>Traning</w:t>
      </w:r>
      <w:proofErr w:type="spellEnd"/>
      <w:r w:rsidRPr="00B33999">
        <w:rPr>
          <w:rFonts w:asciiTheme="minorHAnsi" w:hAnsiTheme="minorHAnsi"/>
          <w:lang w:bidi="bn-IN"/>
        </w:rPr>
        <w:t xml:space="preserve"> </w:t>
      </w:r>
      <w:proofErr w:type="spellStart"/>
      <w:r w:rsidRPr="00B33999">
        <w:rPr>
          <w:rFonts w:asciiTheme="minorHAnsi" w:hAnsiTheme="minorHAnsi"/>
          <w:lang w:bidi="bn-IN"/>
        </w:rPr>
        <w:t>Centres</w:t>
      </w:r>
      <w:proofErr w:type="spellEnd"/>
      <w:r w:rsidRPr="00B33999">
        <w:rPr>
          <w:rFonts w:asciiTheme="minorHAnsi" w:hAnsiTheme="minorHAnsi"/>
          <w:lang w:bidi="bn-IN"/>
        </w:rPr>
        <w:t xml:space="preserve"> in </w:t>
      </w:r>
      <w:proofErr w:type="spellStart"/>
      <w:r w:rsidRPr="00B33999">
        <w:rPr>
          <w:rFonts w:asciiTheme="minorHAnsi" w:hAnsiTheme="minorHAnsi"/>
          <w:lang w:bidi="bn-IN"/>
        </w:rPr>
        <w:t>Upazilla</w:t>
      </w:r>
      <w:proofErr w:type="spellEnd"/>
      <w:r w:rsidRPr="00B33999">
        <w:rPr>
          <w:rFonts w:asciiTheme="minorHAnsi" w:hAnsiTheme="minorHAnsi"/>
          <w:lang w:bidi="bn-IN"/>
        </w:rPr>
        <w:t xml:space="preserve"> Level;</w:t>
      </w:r>
    </w:p>
    <w:p w14:paraId="4AF1B7B9" w14:textId="22C33984" w:rsidR="00B33999" w:rsidRPr="00B33999" w:rsidRDefault="00B33999" w:rsidP="00E00901">
      <w:pPr>
        <w:pStyle w:val="NormalWeb"/>
        <w:spacing w:before="0" w:beforeAutospacing="0" w:after="0" w:afterAutospacing="0" w:line="276" w:lineRule="auto"/>
        <w:ind w:left="720" w:hanging="720"/>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r>
      <w:r w:rsidR="009D4D66" w:rsidRPr="00B33999">
        <w:rPr>
          <w:rFonts w:asciiTheme="minorHAnsi" w:hAnsiTheme="minorHAnsi"/>
          <w:lang w:bidi="bn-IN"/>
        </w:rPr>
        <w:t>Decentralization</w:t>
      </w:r>
      <w:r w:rsidRPr="00B33999">
        <w:rPr>
          <w:rFonts w:asciiTheme="minorHAnsi" w:hAnsiTheme="minorHAnsi"/>
          <w:lang w:bidi="bn-IN"/>
        </w:rPr>
        <w:t xml:space="preserve"> of some services related to overseas employment and welfare of migrants and their family members;</w:t>
      </w:r>
    </w:p>
    <w:p w14:paraId="36221970"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Developing awareness-raising mechanisms and increasing campaigns;</w:t>
      </w:r>
    </w:p>
    <w:p w14:paraId="5536A05F"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Hosting of Global Forum on Migration and Development;</w:t>
      </w:r>
    </w:p>
    <w:p w14:paraId="2BB34FAE"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Signing of Global Compact for Migration;</w:t>
      </w:r>
    </w:p>
    <w:p w14:paraId="4E0324FA" w14:textId="190480A8" w:rsid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Inclusion of migration in Five-Year plan and SDG agenda</w:t>
      </w:r>
    </w:p>
    <w:p w14:paraId="69AE5B84" w14:textId="77777777" w:rsidR="00B33999" w:rsidRDefault="00B33999" w:rsidP="00B33999">
      <w:pPr>
        <w:pStyle w:val="NormalWeb"/>
        <w:spacing w:before="0" w:beforeAutospacing="0" w:after="0" w:afterAutospacing="0"/>
        <w:rPr>
          <w:rFonts w:asciiTheme="minorHAnsi" w:hAnsiTheme="minorHAnsi"/>
          <w:lang w:bidi="bn-IN"/>
        </w:rPr>
      </w:pPr>
    </w:p>
    <w:p w14:paraId="42F75BF1" w14:textId="77777777" w:rsidR="00B33999" w:rsidRPr="00B33999" w:rsidRDefault="00B33999" w:rsidP="00B33999">
      <w:pPr>
        <w:pStyle w:val="NormalWeb"/>
        <w:spacing w:before="0" w:beforeAutospacing="0" w:after="0" w:afterAutospacing="0"/>
        <w:rPr>
          <w:rFonts w:asciiTheme="minorHAnsi" w:hAnsiTheme="minorHAnsi"/>
          <w:b/>
          <w:lang w:bidi="bn-IN"/>
        </w:rPr>
      </w:pPr>
      <w:r w:rsidRPr="00B33999">
        <w:rPr>
          <w:rFonts w:asciiTheme="minorHAnsi" w:hAnsiTheme="minorHAnsi"/>
          <w:b/>
          <w:lang w:bidi="bn-IN"/>
        </w:rPr>
        <w:t>Challenges in Migration Governance</w:t>
      </w:r>
    </w:p>
    <w:p w14:paraId="268F0E09"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 xml:space="preserve">Irregular Migration </w:t>
      </w:r>
    </w:p>
    <w:p w14:paraId="591A2ECF"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High Migration Cost</w:t>
      </w:r>
    </w:p>
    <w:p w14:paraId="5C82963C"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Intervention of Middlemen</w:t>
      </w:r>
    </w:p>
    <w:p w14:paraId="18CA703D"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Aspirant Migrants Falling Victims to Traffickers and Smugglers</w:t>
      </w:r>
    </w:p>
    <w:p w14:paraId="294091FA"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Forced Repatriation or Expulsion of Irregular Migrants</w:t>
      </w:r>
    </w:p>
    <w:p w14:paraId="2D2CF80B"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Timely Issuance and Delivery of Passports</w:t>
      </w:r>
    </w:p>
    <w:p w14:paraId="313477C4"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Expansion of Expatriate Welfare Bank</w:t>
      </w:r>
    </w:p>
    <w:p w14:paraId="44E375C4"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lastRenderedPageBreak/>
        <w:t>•</w:t>
      </w:r>
      <w:r w:rsidRPr="00B33999">
        <w:rPr>
          <w:rFonts w:asciiTheme="minorHAnsi" w:hAnsiTheme="minorHAnsi"/>
          <w:lang w:bidi="bn-IN"/>
        </w:rPr>
        <w:tab/>
        <w:t>Illegal Transfer of Remittances</w:t>
      </w:r>
    </w:p>
    <w:p w14:paraId="6529B8B1"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Dissemination of Accurate and Updated Information</w:t>
      </w:r>
    </w:p>
    <w:p w14:paraId="0C9F4C00"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r>
      <w:proofErr w:type="spellStart"/>
      <w:r w:rsidRPr="00B33999">
        <w:rPr>
          <w:rFonts w:asciiTheme="minorHAnsi" w:hAnsiTheme="minorHAnsi"/>
          <w:lang w:bidi="bn-IN"/>
        </w:rPr>
        <w:t>Decentralisation</w:t>
      </w:r>
      <w:proofErr w:type="spellEnd"/>
      <w:r w:rsidRPr="00B33999">
        <w:rPr>
          <w:rFonts w:asciiTheme="minorHAnsi" w:hAnsiTheme="minorHAnsi"/>
          <w:lang w:bidi="bn-IN"/>
        </w:rPr>
        <w:t xml:space="preserve"> of Services</w:t>
      </w:r>
    </w:p>
    <w:p w14:paraId="56334C7A"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Recruitment Directly by Recruiting Agencies</w:t>
      </w:r>
    </w:p>
    <w:p w14:paraId="0909D22B"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Selection of Migrants from BMET Database</w:t>
      </w:r>
    </w:p>
    <w:p w14:paraId="58D07A09" w14:textId="6B939607" w:rsidR="00B33999" w:rsidRPr="00B33999" w:rsidRDefault="00B33999" w:rsidP="00E00901">
      <w:pPr>
        <w:pStyle w:val="NormalWeb"/>
        <w:spacing w:before="0" w:beforeAutospacing="0" w:after="0" w:afterAutospacing="0" w:line="276" w:lineRule="auto"/>
        <w:ind w:left="720" w:hanging="720"/>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 xml:space="preserve">Poor Staffing at Technical Training </w:t>
      </w:r>
      <w:proofErr w:type="spellStart"/>
      <w:r w:rsidRPr="00B33999">
        <w:rPr>
          <w:rFonts w:asciiTheme="minorHAnsi" w:hAnsiTheme="minorHAnsi"/>
          <w:lang w:bidi="bn-IN"/>
        </w:rPr>
        <w:t>Centres</w:t>
      </w:r>
      <w:proofErr w:type="spellEnd"/>
      <w:r w:rsidRPr="00B33999">
        <w:rPr>
          <w:rFonts w:asciiTheme="minorHAnsi" w:hAnsiTheme="minorHAnsi"/>
          <w:lang w:bidi="bn-IN"/>
        </w:rPr>
        <w:t xml:space="preserve"> </w:t>
      </w:r>
      <w:r>
        <w:rPr>
          <w:rFonts w:asciiTheme="minorHAnsi" w:hAnsiTheme="minorHAnsi"/>
          <w:lang w:bidi="bn-IN"/>
        </w:rPr>
        <w:t xml:space="preserve">(TTCs) </w:t>
      </w:r>
      <w:r w:rsidRPr="00B33999">
        <w:rPr>
          <w:rFonts w:asciiTheme="minorHAnsi" w:hAnsiTheme="minorHAnsi"/>
          <w:lang w:bidi="bn-IN"/>
        </w:rPr>
        <w:t>and District Employment and Manpower Offices</w:t>
      </w:r>
      <w:r>
        <w:rPr>
          <w:rFonts w:asciiTheme="minorHAnsi" w:hAnsiTheme="minorHAnsi"/>
          <w:lang w:bidi="bn-IN"/>
        </w:rPr>
        <w:t xml:space="preserve"> (DEMOs)</w:t>
      </w:r>
    </w:p>
    <w:p w14:paraId="50E690DF"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 xml:space="preserve">Expansion of </w:t>
      </w:r>
      <w:proofErr w:type="spellStart"/>
      <w:r w:rsidRPr="00B33999">
        <w:rPr>
          <w:rFonts w:asciiTheme="minorHAnsi" w:hAnsiTheme="minorHAnsi"/>
          <w:lang w:bidi="bn-IN"/>
        </w:rPr>
        <w:t>Labour</w:t>
      </w:r>
      <w:proofErr w:type="spellEnd"/>
      <w:r w:rsidRPr="00B33999">
        <w:rPr>
          <w:rFonts w:asciiTheme="minorHAnsi" w:hAnsiTheme="minorHAnsi"/>
          <w:lang w:bidi="bn-IN"/>
        </w:rPr>
        <w:t xml:space="preserve"> Welfare Wings and Increasing Staff</w:t>
      </w:r>
    </w:p>
    <w:p w14:paraId="3850A08A" w14:textId="77777777" w:rsidR="00B33999" w:rsidRPr="00B33999" w:rsidRDefault="00B33999" w:rsidP="00E00901">
      <w:pPr>
        <w:pStyle w:val="NormalWeb"/>
        <w:spacing w:before="0" w:beforeAutospacing="0" w:after="0" w:afterAutospacing="0" w:line="276" w:lineRule="auto"/>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Absence of Branch Offices of Travel and Recruiting Agencies</w:t>
      </w:r>
    </w:p>
    <w:p w14:paraId="6994A55B" w14:textId="082BACB2" w:rsidR="00B33999" w:rsidRPr="00937EF7" w:rsidRDefault="00B33999" w:rsidP="00E00901">
      <w:pPr>
        <w:pStyle w:val="NormalWeb"/>
        <w:spacing w:before="0" w:beforeAutospacing="0" w:after="0" w:afterAutospacing="0" w:line="276" w:lineRule="auto"/>
        <w:jc w:val="both"/>
        <w:rPr>
          <w:rFonts w:asciiTheme="minorHAnsi" w:hAnsiTheme="minorHAnsi"/>
          <w:lang w:bidi="bn-IN"/>
        </w:rPr>
      </w:pPr>
      <w:r w:rsidRPr="00B33999">
        <w:rPr>
          <w:rFonts w:asciiTheme="minorHAnsi" w:hAnsiTheme="minorHAnsi"/>
          <w:lang w:bidi="bn-IN"/>
        </w:rPr>
        <w:t>•</w:t>
      </w:r>
      <w:r w:rsidRPr="00B33999">
        <w:rPr>
          <w:rFonts w:asciiTheme="minorHAnsi" w:hAnsiTheme="minorHAnsi"/>
          <w:lang w:bidi="bn-IN"/>
        </w:rPr>
        <w:tab/>
        <w:t>Lack of Monitoring and Supervision of Recruiting Agencies</w:t>
      </w:r>
    </w:p>
    <w:p w14:paraId="723FCC01" w14:textId="77777777" w:rsidR="007C7A41" w:rsidRPr="004C1D20" w:rsidRDefault="007C7A41" w:rsidP="00E00901">
      <w:pPr>
        <w:rPr>
          <w:color w:val="5985BD" w:themeColor="accent4"/>
          <w:sz w:val="16"/>
        </w:rPr>
      </w:pPr>
    </w:p>
    <w:p w14:paraId="36E8166F" w14:textId="7C2D3B10" w:rsidR="006100A2" w:rsidRPr="00937EF7" w:rsidRDefault="006100A2" w:rsidP="0000419E">
      <w:pPr>
        <w:spacing w:line="240" w:lineRule="auto"/>
        <w:rPr>
          <w:rFonts w:cs="Times New Roman"/>
        </w:rPr>
      </w:pPr>
      <w:r w:rsidRPr="00937EF7">
        <w:rPr>
          <w:rFonts w:cs="Times New Roman"/>
        </w:rPr>
        <w:t>https://en.wikipedia.org/wiki</w:t>
      </w:r>
    </w:p>
    <w:p w14:paraId="14822785" w14:textId="45CF25C0" w:rsidR="007C7A41" w:rsidRPr="00937EF7" w:rsidRDefault="006100A2" w:rsidP="0000419E">
      <w:pPr>
        <w:spacing w:line="240" w:lineRule="auto"/>
        <w:rPr>
          <w:rFonts w:cs="Times New Roman"/>
        </w:rPr>
      </w:pPr>
      <w:r w:rsidRPr="00937EF7">
        <w:rPr>
          <w:rFonts w:cs="Times New Roman"/>
        </w:rPr>
        <w:t>https://www.orfonline.org/expert-speak/bangladesh-economy-strong-points-and-red-flags/</w:t>
      </w:r>
    </w:p>
    <w:p w14:paraId="5DC3B695" w14:textId="5CF4EBB8" w:rsidR="008955DF" w:rsidRPr="00937EF7" w:rsidRDefault="001C7688" w:rsidP="0000419E">
      <w:pPr>
        <w:pStyle w:val="Heading1"/>
        <w:spacing w:line="240" w:lineRule="auto"/>
      </w:pPr>
      <w:bookmarkStart w:id="3" w:name="_Toc51847921"/>
      <w:r w:rsidRPr="00937EF7">
        <w:t>Migration Stocks</w:t>
      </w:r>
      <w:bookmarkEnd w:id="3"/>
    </w:p>
    <w:p w14:paraId="718E973D" w14:textId="485848B2" w:rsidR="0064412A" w:rsidRPr="00D53C1C" w:rsidRDefault="00D53C1C" w:rsidP="0000419E">
      <w:pPr>
        <w:pStyle w:val="Heading3"/>
        <w:spacing w:line="240" w:lineRule="auto"/>
        <w:rPr>
          <w:rStyle w:val="Hyperlink"/>
          <w:rFonts w:asciiTheme="minorHAnsi" w:hAnsiTheme="minorHAnsi"/>
          <w:color w:val="auto"/>
          <w:sz w:val="28"/>
          <w:u w:val="none"/>
        </w:rPr>
      </w:pPr>
      <w:r w:rsidRPr="00D53C1C">
        <w:rPr>
          <w:rStyle w:val="Hyperlink"/>
          <w:rFonts w:asciiTheme="minorHAnsi" w:hAnsiTheme="minorHAnsi"/>
          <w:color w:val="auto"/>
          <w:sz w:val="28"/>
          <w:u w:val="none"/>
        </w:rPr>
        <w:t xml:space="preserve">2.1 </w:t>
      </w:r>
      <w:r w:rsidR="0064412A" w:rsidRPr="00D53C1C">
        <w:rPr>
          <w:rStyle w:val="Hyperlink"/>
          <w:rFonts w:asciiTheme="minorHAnsi" w:hAnsiTheme="minorHAnsi"/>
          <w:color w:val="auto"/>
          <w:sz w:val="28"/>
          <w:u w:val="none"/>
        </w:rPr>
        <w:t>Immigrant Stocks</w:t>
      </w:r>
    </w:p>
    <w:p w14:paraId="3435C348" w14:textId="307D3854" w:rsidR="001709F3" w:rsidRPr="004C1D20" w:rsidRDefault="00D0254A" w:rsidP="0000419E">
      <w:pPr>
        <w:spacing w:line="240" w:lineRule="auto"/>
        <w:rPr>
          <w:b/>
          <w:sz w:val="24"/>
          <w:szCs w:val="24"/>
        </w:rPr>
      </w:pPr>
      <w:r w:rsidRPr="004C1D20">
        <w:rPr>
          <w:rStyle w:val="textlayer--absolute"/>
          <w:rFonts w:cs="Arial"/>
          <w:b/>
          <w:sz w:val="24"/>
          <w:szCs w:val="24"/>
        </w:rPr>
        <w:t xml:space="preserve">Figure 2: </w:t>
      </w:r>
      <w:r w:rsidR="0064412A" w:rsidRPr="004C1D20">
        <w:rPr>
          <w:rStyle w:val="textlayer--absolute"/>
          <w:rFonts w:cs="Arial"/>
          <w:b/>
          <w:sz w:val="24"/>
          <w:szCs w:val="24"/>
        </w:rPr>
        <w:t xml:space="preserve">Over time (1990, 1995, 2000, 2005, 2010, 2015, </w:t>
      </w:r>
      <w:proofErr w:type="gramStart"/>
      <w:r w:rsidR="0064412A" w:rsidRPr="004C1D20">
        <w:rPr>
          <w:rStyle w:val="textlayer--absolute"/>
          <w:rFonts w:cs="Arial"/>
          <w:b/>
          <w:sz w:val="24"/>
          <w:szCs w:val="24"/>
        </w:rPr>
        <w:t>2020</w:t>
      </w:r>
      <w:proofErr w:type="gramEnd"/>
      <w:r w:rsidR="0064412A" w:rsidRPr="004C1D20">
        <w:rPr>
          <w:rStyle w:val="textlayer--absolute"/>
          <w:rFonts w:cs="Arial"/>
          <w:b/>
          <w:sz w:val="24"/>
          <w:szCs w:val="24"/>
        </w:rPr>
        <w:t xml:space="preserve">) disaggregated by sex </w:t>
      </w:r>
    </w:p>
    <w:p w14:paraId="79CC581A" w14:textId="09351CA7" w:rsidR="003349A9" w:rsidRPr="00937EF7" w:rsidRDefault="003349A9" w:rsidP="0000419E">
      <w:pPr>
        <w:spacing w:line="240" w:lineRule="auto"/>
      </w:pPr>
      <w:r w:rsidRPr="00937EF7">
        <w:rPr>
          <w:noProof/>
          <w:lang w:eastAsia="en-US"/>
        </w:rPr>
        <w:drawing>
          <wp:inline distT="0" distB="0" distL="0" distR="0" wp14:anchorId="5598D92E" wp14:editId="4D9DFAA0">
            <wp:extent cx="5507501" cy="2222696"/>
            <wp:effectExtent l="0" t="0" r="17145"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35E51D" w14:textId="61EB65CD" w:rsidR="0064412A" w:rsidRPr="009E654C" w:rsidRDefault="00850C93" w:rsidP="009E654C">
      <w:pPr>
        <w:spacing w:line="240" w:lineRule="auto"/>
        <w:rPr>
          <w:rFonts w:cs="Times New Roman"/>
          <w:u w:val="single"/>
        </w:rPr>
      </w:pPr>
      <w:r w:rsidRPr="00937EF7">
        <w:rPr>
          <w:rFonts w:cs="Times New Roman"/>
        </w:rPr>
        <w:t xml:space="preserve">Source: </w:t>
      </w:r>
      <w:hyperlink r:id="rId19" w:history="1">
        <w:r w:rsidRPr="00937EF7">
          <w:rPr>
            <w:rStyle w:val="Hyperlink"/>
            <w:rFonts w:cs="Times New Roman"/>
            <w:color w:val="auto"/>
          </w:rPr>
          <w:t>https://www.un.org/development/desa/pd/content/international-migrant-stock</w:t>
        </w:r>
      </w:hyperlink>
    </w:p>
    <w:p w14:paraId="16E069F2" w14:textId="386C9E23" w:rsidR="00D53C1C" w:rsidRPr="00D0254A" w:rsidRDefault="00D0254A" w:rsidP="0000419E">
      <w:pPr>
        <w:spacing w:after="0" w:line="240" w:lineRule="auto"/>
        <w:rPr>
          <w:rFonts w:eastAsia="Times New Roman" w:cs="Arial"/>
          <w:sz w:val="24"/>
          <w:szCs w:val="24"/>
          <w:lang w:eastAsia="en-US"/>
        </w:rPr>
      </w:pPr>
      <w:r w:rsidRPr="00D0254A">
        <w:rPr>
          <w:rFonts w:eastAsia="Times New Roman" w:cs="Arial"/>
          <w:sz w:val="24"/>
          <w:szCs w:val="24"/>
          <w:lang w:eastAsia="en-US"/>
        </w:rPr>
        <w:t xml:space="preserve">Figure 2 presents </w:t>
      </w:r>
      <w:r>
        <w:rPr>
          <w:rFonts w:eastAsia="Times New Roman" w:cs="Arial"/>
          <w:sz w:val="24"/>
          <w:szCs w:val="24"/>
          <w:lang w:eastAsia="en-US"/>
        </w:rPr>
        <w:t>information regarding the proportion of male and female international migrants coming into Bangladesh over a period of 30 years. It shows a significant growth fro</w:t>
      </w:r>
      <w:r w:rsidR="00C353A4">
        <w:rPr>
          <w:rFonts w:eastAsia="Times New Roman" w:cs="Arial"/>
          <w:sz w:val="24"/>
          <w:szCs w:val="24"/>
          <w:lang w:eastAsia="en-US"/>
        </w:rPr>
        <w:t>m 1990 to 2020. The proportion</w:t>
      </w:r>
      <w:r>
        <w:rPr>
          <w:rFonts w:eastAsia="Times New Roman" w:cs="Arial"/>
          <w:sz w:val="24"/>
          <w:szCs w:val="24"/>
          <w:lang w:eastAsia="en-US"/>
        </w:rPr>
        <w:t xml:space="preserve"> of male and female immigrants is more or less equally balanced. </w:t>
      </w:r>
    </w:p>
    <w:p w14:paraId="1EAD4556" w14:textId="77777777" w:rsidR="009E654C" w:rsidRDefault="009E654C" w:rsidP="0000419E">
      <w:pPr>
        <w:spacing w:after="0" w:line="240" w:lineRule="auto"/>
        <w:jc w:val="left"/>
        <w:rPr>
          <w:rFonts w:eastAsia="Times New Roman" w:cs="Arial"/>
          <w:b/>
          <w:sz w:val="26"/>
          <w:szCs w:val="28"/>
          <w:lang w:eastAsia="en-US"/>
        </w:rPr>
      </w:pPr>
    </w:p>
    <w:p w14:paraId="479C5C14" w14:textId="77777777" w:rsidR="00E00901" w:rsidRDefault="00E00901" w:rsidP="0000419E">
      <w:pPr>
        <w:spacing w:after="0" w:line="240" w:lineRule="auto"/>
        <w:jc w:val="left"/>
        <w:rPr>
          <w:rFonts w:eastAsia="Times New Roman" w:cs="Arial"/>
          <w:b/>
          <w:sz w:val="26"/>
          <w:szCs w:val="28"/>
          <w:lang w:eastAsia="en-US"/>
        </w:rPr>
      </w:pPr>
    </w:p>
    <w:p w14:paraId="54853A64" w14:textId="77777777" w:rsidR="00E00901" w:rsidRDefault="00E00901" w:rsidP="0000419E">
      <w:pPr>
        <w:spacing w:after="0" w:line="240" w:lineRule="auto"/>
        <w:jc w:val="left"/>
        <w:rPr>
          <w:rFonts w:eastAsia="Times New Roman" w:cs="Arial"/>
          <w:b/>
          <w:sz w:val="26"/>
          <w:szCs w:val="28"/>
          <w:lang w:eastAsia="en-US"/>
        </w:rPr>
      </w:pPr>
    </w:p>
    <w:p w14:paraId="161DE0FA" w14:textId="77777777" w:rsidR="00E00901" w:rsidRDefault="00E00901" w:rsidP="0000419E">
      <w:pPr>
        <w:spacing w:after="0" w:line="240" w:lineRule="auto"/>
        <w:jc w:val="left"/>
        <w:rPr>
          <w:rFonts w:eastAsia="Times New Roman" w:cs="Arial"/>
          <w:b/>
          <w:sz w:val="26"/>
          <w:szCs w:val="28"/>
          <w:lang w:eastAsia="en-US"/>
        </w:rPr>
      </w:pPr>
    </w:p>
    <w:p w14:paraId="30A76220" w14:textId="565DF7CF" w:rsidR="0064412A" w:rsidRDefault="00692E1F" w:rsidP="0000419E">
      <w:pPr>
        <w:spacing w:after="0" w:line="240" w:lineRule="auto"/>
        <w:jc w:val="left"/>
        <w:rPr>
          <w:rFonts w:eastAsia="Times New Roman" w:cs="Arial"/>
          <w:b/>
          <w:sz w:val="26"/>
          <w:szCs w:val="28"/>
          <w:lang w:eastAsia="en-US"/>
        </w:rPr>
      </w:pPr>
      <w:r>
        <w:rPr>
          <w:rFonts w:eastAsia="Times New Roman" w:cs="Arial"/>
          <w:b/>
          <w:sz w:val="26"/>
          <w:szCs w:val="28"/>
          <w:lang w:eastAsia="en-US"/>
        </w:rPr>
        <w:lastRenderedPageBreak/>
        <w:t xml:space="preserve">Figure 3: </w:t>
      </w:r>
      <w:r w:rsidR="0064412A" w:rsidRPr="00D53C1C">
        <w:rPr>
          <w:rFonts w:eastAsia="Times New Roman" w:cs="Arial"/>
          <w:b/>
          <w:sz w:val="26"/>
          <w:szCs w:val="28"/>
          <w:lang w:eastAsia="en-US"/>
        </w:rPr>
        <w:t>Most recent year (2020) disaggregated by sex and age group</w:t>
      </w:r>
    </w:p>
    <w:p w14:paraId="6DF89A56" w14:textId="77777777" w:rsidR="00692E1F" w:rsidRPr="00D53C1C" w:rsidRDefault="00692E1F" w:rsidP="0000419E">
      <w:pPr>
        <w:spacing w:after="0" w:line="240" w:lineRule="auto"/>
        <w:jc w:val="left"/>
        <w:rPr>
          <w:rFonts w:eastAsia="Times New Roman" w:cs="Times New Roman"/>
          <w:b/>
          <w:sz w:val="26"/>
          <w:szCs w:val="28"/>
          <w:lang w:eastAsia="en-US"/>
        </w:rPr>
      </w:pPr>
    </w:p>
    <w:p w14:paraId="2F5CD0FC" w14:textId="2433F991" w:rsidR="003349A9" w:rsidRPr="00937EF7" w:rsidRDefault="00423322" w:rsidP="0000419E">
      <w:pPr>
        <w:spacing w:line="240" w:lineRule="auto"/>
      </w:pPr>
      <w:r>
        <w:rPr>
          <w:noProof/>
          <w:lang w:eastAsia="en-US"/>
        </w:rPr>
        <w:drawing>
          <wp:inline distT="0" distB="0" distL="0" distR="0" wp14:anchorId="78FA052A" wp14:editId="2F0BA461">
            <wp:extent cx="5423095" cy="2074984"/>
            <wp:effectExtent l="0" t="0" r="25400" b="20955"/>
            <wp:docPr id="19" name="Chart 1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AFE1237-1C6F-8C77-54B3-744E24CE6B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95B36E7" w14:textId="77777777" w:rsidR="00850C93" w:rsidRPr="00937EF7" w:rsidRDefault="00850C93" w:rsidP="0000419E">
      <w:pPr>
        <w:spacing w:line="240" w:lineRule="auto"/>
        <w:rPr>
          <w:rStyle w:val="Hyperlink"/>
          <w:color w:val="auto"/>
        </w:rPr>
      </w:pPr>
      <w:r w:rsidRPr="00937EF7">
        <w:t xml:space="preserve">Source: </w:t>
      </w:r>
      <w:hyperlink r:id="rId21" w:history="1">
        <w:r w:rsidRPr="00937EF7">
          <w:rPr>
            <w:rStyle w:val="Hyperlink"/>
            <w:color w:val="auto"/>
          </w:rPr>
          <w:t>https://www.un.org/development/desa/pd/content/international-migrant-stock</w:t>
        </w:r>
      </w:hyperlink>
    </w:p>
    <w:p w14:paraId="5328713E" w14:textId="5C89F1D9" w:rsidR="003349A9" w:rsidRPr="00F66FA6" w:rsidRDefault="00F66FA6" w:rsidP="0000419E">
      <w:pPr>
        <w:spacing w:line="240" w:lineRule="auto"/>
        <w:rPr>
          <w:sz w:val="24"/>
          <w:szCs w:val="24"/>
        </w:rPr>
      </w:pPr>
      <w:r w:rsidRPr="00F66FA6">
        <w:rPr>
          <w:sz w:val="24"/>
          <w:szCs w:val="24"/>
        </w:rPr>
        <w:t xml:space="preserve">The above figure </w:t>
      </w:r>
      <w:r>
        <w:rPr>
          <w:sz w:val="24"/>
          <w:szCs w:val="24"/>
        </w:rPr>
        <w:t xml:space="preserve">demonstrates </w:t>
      </w:r>
      <w:r w:rsidR="00236FFD">
        <w:rPr>
          <w:sz w:val="24"/>
          <w:szCs w:val="24"/>
        </w:rPr>
        <w:t xml:space="preserve">data regarding foreign-born population coming into Bangladesh in accordance with the sex and age groups in the year 2020. </w:t>
      </w:r>
      <w:r w:rsidR="00D05B43">
        <w:rPr>
          <w:sz w:val="24"/>
          <w:szCs w:val="24"/>
        </w:rPr>
        <w:t>The proportion of male and female immigrants is much the same in age groups 0-19 and 35 onwards. But in t</w:t>
      </w:r>
      <w:r w:rsidR="00D25661">
        <w:rPr>
          <w:sz w:val="24"/>
          <w:szCs w:val="24"/>
        </w:rPr>
        <w:t>he age groups between 20 and 34</w:t>
      </w:r>
      <w:r w:rsidR="00D05B43">
        <w:rPr>
          <w:sz w:val="24"/>
          <w:szCs w:val="24"/>
        </w:rPr>
        <w:t xml:space="preserve">, there is an increase of female international migrants in Bangladesh. </w:t>
      </w:r>
    </w:p>
    <w:p w14:paraId="134C97B6" w14:textId="77777777" w:rsidR="00E00901" w:rsidRDefault="00E00901" w:rsidP="0000419E">
      <w:pPr>
        <w:spacing w:line="240" w:lineRule="auto"/>
        <w:rPr>
          <w:rFonts w:cs="Times New Roman"/>
          <w:b/>
          <w:sz w:val="26"/>
          <w:szCs w:val="36"/>
        </w:rPr>
      </w:pPr>
    </w:p>
    <w:p w14:paraId="4D2F73C8" w14:textId="56F33D5D" w:rsidR="00E42DB6" w:rsidRDefault="00AF57CA" w:rsidP="0000419E">
      <w:pPr>
        <w:spacing w:line="240" w:lineRule="auto"/>
        <w:rPr>
          <w:rFonts w:cs="Times New Roman"/>
          <w:b/>
          <w:sz w:val="26"/>
          <w:szCs w:val="36"/>
        </w:rPr>
      </w:pPr>
      <w:r>
        <w:rPr>
          <w:rFonts w:cs="Times New Roman"/>
          <w:b/>
          <w:sz w:val="26"/>
          <w:szCs w:val="36"/>
        </w:rPr>
        <w:t xml:space="preserve">Figure-4: </w:t>
      </w:r>
      <w:r w:rsidR="00E42DB6" w:rsidRPr="00D53C1C">
        <w:rPr>
          <w:rFonts w:cs="Times New Roman"/>
          <w:b/>
          <w:sz w:val="26"/>
          <w:szCs w:val="36"/>
        </w:rPr>
        <w:t>Most recent year (2020) top countries of origin</w:t>
      </w:r>
    </w:p>
    <w:p w14:paraId="26604161" w14:textId="3F0DCC17" w:rsidR="00615EF6" w:rsidRPr="00615EF6" w:rsidRDefault="00615EF6" w:rsidP="0000419E">
      <w:pPr>
        <w:spacing w:line="240" w:lineRule="auto"/>
        <w:rPr>
          <w:rFonts w:cs="Times New Roman"/>
          <w:sz w:val="24"/>
          <w:szCs w:val="24"/>
        </w:rPr>
      </w:pPr>
      <w:r>
        <w:rPr>
          <w:rFonts w:cs="Times New Roman"/>
          <w:sz w:val="24"/>
          <w:szCs w:val="24"/>
        </w:rPr>
        <w:t>The figure 4 below</w:t>
      </w:r>
      <w:r w:rsidRPr="00615EF6">
        <w:rPr>
          <w:rFonts w:cs="Times New Roman"/>
          <w:sz w:val="24"/>
          <w:szCs w:val="24"/>
        </w:rPr>
        <w:t xml:space="preserve"> presents the top countries of origin of international migrants coming into Bangladesh in 2020. It figures out that most immigrants entered into Bangladesh from Myanmar followed by Malaysia, China, Indonesia and Lao People’s Democratic Republic. But in reality, there are a significant number of people from India, Korea, Sri Lanka, Japan and Thailand working in Bangladesh.</w:t>
      </w:r>
    </w:p>
    <w:p w14:paraId="3BF02115" w14:textId="6B54A01A" w:rsidR="001709F3" w:rsidRPr="00937EF7" w:rsidRDefault="003349A9" w:rsidP="0000419E">
      <w:pPr>
        <w:spacing w:line="240" w:lineRule="auto"/>
        <w:rPr>
          <w:i/>
          <w:iCs/>
          <w:color w:val="5985BD" w:themeColor="accent4"/>
        </w:rPr>
      </w:pPr>
      <w:r w:rsidRPr="00937EF7">
        <w:rPr>
          <w:noProof/>
          <w:lang w:eastAsia="en-US"/>
        </w:rPr>
        <w:drawing>
          <wp:inline distT="0" distB="0" distL="0" distR="0" wp14:anchorId="288EF05F" wp14:editId="79347BCB">
            <wp:extent cx="5507501" cy="2286000"/>
            <wp:effectExtent l="0" t="0" r="1714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37CAE23" w14:textId="77777777" w:rsidR="000D3CA1" w:rsidRPr="00937EF7" w:rsidRDefault="000D3CA1" w:rsidP="0000419E">
      <w:pPr>
        <w:spacing w:line="240" w:lineRule="auto"/>
        <w:rPr>
          <w:rStyle w:val="Hyperlink"/>
          <w:color w:val="auto"/>
        </w:rPr>
      </w:pPr>
      <w:r w:rsidRPr="00937EF7">
        <w:t xml:space="preserve">Source: </w:t>
      </w:r>
      <w:hyperlink r:id="rId23" w:history="1">
        <w:r w:rsidRPr="00937EF7">
          <w:rPr>
            <w:rStyle w:val="Hyperlink"/>
            <w:color w:val="auto"/>
          </w:rPr>
          <w:t>https://www.un.org/development/desa/pd/content/international-migrant-stock</w:t>
        </w:r>
      </w:hyperlink>
    </w:p>
    <w:p w14:paraId="3AAD63D6" w14:textId="06DCEC78" w:rsidR="002665AC" w:rsidRPr="00D53C1C" w:rsidRDefault="00D53C1C" w:rsidP="0000419E">
      <w:pPr>
        <w:pStyle w:val="Heading3"/>
        <w:spacing w:line="240" w:lineRule="auto"/>
        <w:rPr>
          <w:rFonts w:asciiTheme="minorHAnsi" w:hAnsiTheme="minorHAnsi"/>
          <w:color w:val="auto"/>
          <w:sz w:val="28"/>
        </w:rPr>
      </w:pPr>
      <w:r w:rsidRPr="00D53C1C">
        <w:rPr>
          <w:rFonts w:asciiTheme="minorHAnsi" w:hAnsiTheme="minorHAnsi"/>
          <w:color w:val="auto"/>
          <w:sz w:val="28"/>
        </w:rPr>
        <w:lastRenderedPageBreak/>
        <w:t xml:space="preserve">2.2 </w:t>
      </w:r>
      <w:r w:rsidR="002665AC" w:rsidRPr="00D53C1C">
        <w:rPr>
          <w:rFonts w:asciiTheme="minorHAnsi" w:hAnsiTheme="minorHAnsi"/>
          <w:color w:val="auto"/>
          <w:sz w:val="28"/>
        </w:rPr>
        <w:t>Emigrant Stocks</w:t>
      </w:r>
    </w:p>
    <w:p w14:paraId="7C64E021" w14:textId="77777777" w:rsidR="00E00901" w:rsidRDefault="00E00901" w:rsidP="0000419E">
      <w:pPr>
        <w:spacing w:line="240" w:lineRule="auto"/>
        <w:rPr>
          <w:b/>
          <w:sz w:val="24"/>
        </w:rPr>
      </w:pPr>
    </w:p>
    <w:p w14:paraId="22703B27" w14:textId="7FC4B024" w:rsidR="006C451B" w:rsidRPr="006E2B71" w:rsidRDefault="00A34115" w:rsidP="0000419E">
      <w:pPr>
        <w:spacing w:line="240" w:lineRule="auto"/>
        <w:rPr>
          <w:b/>
          <w:sz w:val="24"/>
        </w:rPr>
      </w:pPr>
      <w:r w:rsidRPr="006E2B71">
        <w:rPr>
          <w:b/>
          <w:sz w:val="24"/>
        </w:rPr>
        <w:t xml:space="preserve">Figure 5: </w:t>
      </w:r>
      <w:r w:rsidR="0096093F" w:rsidRPr="006E2B71">
        <w:rPr>
          <w:b/>
          <w:sz w:val="24"/>
        </w:rPr>
        <w:t>Emigrant Stocks from Bangladesh by Sex, 1990 - 2020</w:t>
      </w:r>
    </w:p>
    <w:p w14:paraId="469A0FB3" w14:textId="7CAF02F4" w:rsidR="006C451B" w:rsidRPr="00937EF7" w:rsidRDefault="0096093F" w:rsidP="0000419E">
      <w:pPr>
        <w:spacing w:line="240" w:lineRule="auto"/>
        <w:rPr>
          <w:color w:val="5985BD" w:themeColor="accent4"/>
        </w:rPr>
      </w:pPr>
      <w:r w:rsidRPr="00937EF7">
        <w:rPr>
          <w:noProof/>
          <w:lang w:eastAsia="en-US"/>
        </w:rPr>
        <w:drawing>
          <wp:inline distT="0" distB="0" distL="0" distR="0" wp14:anchorId="61113B1B" wp14:editId="1E892363">
            <wp:extent cx="5458265" cy="2201594"/>
            <wp:effectExtent l="0" t="0" r="9525" b="273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13113E2" w14:textId="77777777" w:rsidR="000D3CA1" w:rsidRPr="00937EF7" w:rsidRDefault="000D3CA1" w:rsidP="0000419E">
      <w:pPr>
        <w:spacing w:line="240" w:lineRule="auto"/>
        <w:rPr>
          <w:rStyle w:val="Hyperlink"/>
          <w:color w:val="auto"/>
        </w:rPr>
      </w:pPr>
      <w:r w:rsidRPr="00937EF7">
        <w:t xml:space="preserve">Source: </w:t>
      </w:r>
      <w:hyperlink r:id="rId25" w:history="1">
        <w:r w:rsidRPr="00937EF7">
          <w:rPr>
            <w:rStyle w:val="Hyperlink"/>
            <w:color w:val="auto"/>
          </w:rPr>
          <w:t>https://www.un.org/development/desa/pd/content/international-migrant-stock</w:t>
        </w:r>
      </w:hyperlink>
    </w:p>
    <w:p w14:paraId="1C2FB7EB" w14:textId="09938D88" w:rsidR="009C6B1E" w:rsidRPr="005F52E8" w:rsidRDefault="005F52E8" w:rsidP="0000419E">
      <w:pPr>
        <w:spacing w:line="240" w:lineRule="auto"/>
        <w:rPr>
          <w:sz w:val="24"/>
          <w:szCs w:val="24"/>
        </w:rPr>
      </w:pPr>
      <w:r w:rsidRPr="005F52E8">
        <w:rPr>
          <w:sz w:val="24"/>
          <w:szCs w:val="24"/>
        </w:rPr>
        <w:t xml:space="preserve">The </w:t>
      </w:r>
      <w:r>
        <w:rPr>
          <w:sz w:val="24"/>
          <w:szCs w:val="24"/>
        </w:rPr>
        <w:t xml:space="preserve">data presented in Figure 5 above show the proportion of male and female emigrants </w:t>
      </w:r>
      <w:r w:rsidR="00575258">
        <w:rPr>
          <w:sz w:val="24"/>
          <w:szCs w:val="24"/>
        </w:rPr>
        <w:t xml:space="preserve">from Bangladesh over a period of 30 years from 1990 to 2020. From 1990 to 2005, the proportion is much the same. But since 2005, there is a noticeable increase of male emigrants nearly reaching the highest margin of 5000,000 in 2020. </w:t>
      </w:r>
    </w:p>
    <w:p w14:paraId="498CBEA0" w14:textId="77777777" w:rsidR="00075125" w:rsidRDefault="00075125" w:rsidP="0000419E">
      <w:pPr>
        <w:spacing w:line="240" w:lineRule="auto"/>
        <w:rPr>
          <w:b/>
          <w:sz w:val="26"/>
        </w:rPr>
      </w:pPr>
    </w:p>
    <w:p w14:paraId="6DAF852A" w14:textId="3F4AC2D7" w:rsidR="009C6B1E" w:rsidRDefault="00C637F3" w:rsidP="0000419E">
      <w:pPr>
        <w:spacing w:line="240" w:lineRule="auto"/>
        <w:rPr>
          <w:b/>
          <w:sz w:val="26"/>
        </w:rPr>
      </w:pPr>
      <w:r>
        <w:rPr>
          <w:b/>
          <w:sz w:val="26"/>
        </w:rPr>
        <w:t xml:space="preserve">Figure 6: </w:t>
      </w:r>
      <w:r w:rsidR="009C6B1E" w:rsidRPr="00D53C1C">
        <w:rPr>
          <w:b/>
          <w:sz w:val="26"/>
        </w:rPr>
        <w:t>Most recent year (2020) top countries of destination</w:t>
      </w:r>
    </w:p>
    <w:p w14:paraId="7D4FCC73" w14:textId="66F95068" w:rsidR="00484A20" w:rsidRPr="00D53C1C" w:rsidRDefault="00A76964" w:rsidP="0000419E">
      <w:pPr>
        <w:spacing w:line="240" w:lineRule="auto"/>
        <w:rPr>
          <w:b/>
          <w:sz w:val="26"/>
        </w:rPr>
      </w:pPr>
      <w:r>
        <w:rPr>
          <w:noProof/>
          <w:lang w:eastAsia="en-US"/>
        </w:rPr>
        <w:drawing>
          <wp:inline distT="0" distB="0" distL="0" distR="0" wp14:anchorId="058E9833" wp14:editId="1BA3E3B0">
            <wp:extent cx="5458265" cy="2504049"/>
            <wp:effectExtent l="0" t="0" r="9525" b="10795"/>
            <wp:docPr id="24" name="Chart 2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4DFCB4F-A246-E511-4788-997BF493F0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51E2FFB" w14:textId="77777777" w:rsidR="000D3CA1" w:rsidRPr="00937EF7" w:rsidRDefault="000D3CA1" w:rsidP="0000419E">
      <w:pPr>
        <w:spacing w:line="240" w:lineRule="auto"/>
        <w:rPr>
          <w:rStyle w:val="Hyperlink"/>
          <w:color w:val="auto"/>
        </w:rPr>
      </w:pPr>
      <w:r w:rsidRPr="00937EF7">
        <w:t xml:space="preserve">Source: </w:t>
      </w:r>
      <w:hyperlink r:id="rId27" w:history="1">
        <w:r w:rsidRPr="00937EF7">
          <w:rPr>
            <w:rStyle w:val="Hyperlink"/>
            <w:color w:val="auto"/>
          </w:rPr>
          <w:t>https://www.un.org/development/desa/pd/content/international-migrant-stock</w:t>
        </w:r>
      </w:hyperlink>
    </w:p>
    <w:p w14:paraId="32D4B485" w14:textId="7930587A" w:rsidR="000D3CA1" w:rsidRDefault="00A76768" w:rsidP="0000419E">
      <w:pPr>
        <w:spacing w:line="240" w:lineRule="auto"/>
        <w:rPr>
          <w:sz w:val="24"/>
          <w:szCs w:val="24"/>
        </w:rPr>
      </w:pPr>
      <w:r w:rsidRPr="00A76768">
        <w:rPr>
          <w:sz w:val="24"/>
          <w:szCs w:val="24"/>
        </w:rPr>
        <w:t xml:space="preserve">The top </w:t>
      </w:r>
      <w:r w:rsidR="00A91084">
        <w:rPr>
          <w:sz w:val="24"/>
          <w:szCs w:val="24"/>
        </w:rPr>
        <w:t>countries of destination for Bangladeshi emigrants are presented in Figure 6. It shows that most chosen country of destination for Bangladeshis is India</w:t>
      </w:r>
      <w:r w:rsidR="00F61416">
        <w:rPr>
          <w:sz w:val="24"/>
          <w:szCs w:val="24"/>
        </w:rPr>
        <w:t xml:space="preserve"> (34%)</w:t>
      </w:r>
      <w:r w:rsidR="00A91084">
        <w:rPr>
          <w:sz w:val="24"/>
          <w:szCs w:val="24"/>
        </w:rPr>
        <w:t xml:space="preserve"> followed by Saudi Arabia</w:t>
      </w:r>
      <w:r w:rsidR="00F61416">
        <w:rPr>
          <w:sz w:val="24"/>
          <w:szCs w:val="24"/>
        </w:rPr>
        <w:t xml:space="preserve"> (17%)</w:t>
      </w:r>
      <w:r w:rsidR="00A91084">
        <w:rPr>
          <w:sz w:val="24"/>
          <w:szCs w:val="24"/>
        </w:rPr>
        <w:t>, United Arab Emirates (UAE)</w:t>
      </w:r>
      <w:r w:rsidR="00F61416">
        <w:rPr>
          <w:sz w:val="24"/>
          <w:szCs w:val="24"/>
        </w:rPr>
        <w:t xml:space="preserve"> (15%)</w:t>
      </w:r>
      <w:r w:rsidR="00A91084">
        <w:rPr>
          <w:sz w:val="24"/>
          <w:szCs w:val="24"/>
        </w:rPr>
        <w:t>, Malaysia</w:t>
      </w:r>
      <w:r w:rsidR="00F61416">
        <w:rPr>
          <w:sz w:val="24"/>
          <w:szCs w:val="24"/>
        </w:rPr>
        <w:t xml:space="preserve"> (9%)</w:t>
      </w:r>
      <w:r w:rsidR="00A91084">
        <w:rPr>
          <w:sz w:val="24"/>
          <w:szCs w:val="24"/>
        </w:rPr>
        <w:t xml:space="preserve">, Kuwait, Oman, Qatar, United States of America (USA) and United Kingdom. </w:t>
      </w:r>
    </w:p>
    <w:p w14:paraId="270E7746" w14:textId="77777777" w:rsidR="0001683E" w:rsidRDefault="0001683E" w:rsidP="0000419E">
      <w:pPr>
        <w:pStyle w:val="Heading1"/>
        <w:spacing w:before="0" w:line="240" w:lineRule="auto"/>
      </w:pPr>
      <w:bookmarkStart w:id="4" w:name="_Toc51847923"/>
      <w:r w:rsidRPr="00937EF7">
        <w:lastRenderedPageBreak/>
        <w:t>Net Migration</w:t>
      </w:r>
    </w:p>
    <w:p w14:paraId="3BA75834" w14:textId="77777777" w:rsidR="00E65C2A" w:rsidRDefault="003E1FE1" w:rsidP="0000419E">
      <w:pPr>
        <w:pStyle w:val="Heading1"/>
        <w:numPr>
          <w:ilvl w:val="0"/>
          <w:numId w:val="0"/>
        </w:numPr>
        <w:spacing w:before="0" w:line="240" w:lineRule="auto"/>
        <w:rPr>
          <w:b w:val="0"/>
          <w:sz w:val="26"/>
        </w:rPr>
      </w:pPr>
      <w:r w:rsidRPr="003E1FE1">
        <w:rPr>
          <w:b w:val="0"/>
          <w:sz w:val="26"/>
        </w:rPr>
        <w:t>T</w:t>
      </w:r>
      <w:r w:rsidRPr="003E1FE1">
        <w:rPr>
          <w:b w:val="0"/>
          <w:caps w:val="0"/>
          <w:sz w:val="26"/>
        </w:rPr>
        <w:t xml:space="preserve">he following figure 7 shows </w:t>
      </w:r>
      <w:r>
        <w:rPr>
          <w:b w:val="0"/>
          <w:caps w:val="0"/>
          <w:sz w:val="26"/>
        </w:rPr>
        <w:t xml:space="preserve">net migration in Bangladesh from 1950 to 2021. </w:t>
      </w:r>
      <w:r w:rsidR="0054120E">
        <w:rPr>
          <w:b w:val="0"/>
          <w:caps w:val="0"/>
          <w:sz w:val="26"/>
        </w:rPr>
        <w:t xml:space="preserve">There are significant declines in the years 1976, 2006 and 2008 and increases in 1984, 2016 and 2020. </w:t>
      </w:r>
    </w:p>
    <w:p w14:paraId="27B63753" w14:textId="1DEFA5E0" w:rsidR="008F50FF" w:rsidRPr="00E65C2A" w:rsidRDefault="00C637F3" w:rsidP="0000419E">
      <w:pPr>
        <w:pStyle w:val="Heading1"/>
        <w:numPr>
          <w:ilvl w:val="0"/>
          <w:numId w:val="0"/>
        </w:numPr>
        <w:spacing w:before="0" w:line="240" w:lineRule="auto"/>
        <w:rPr>
          <w:b w:val="0"/>
          <w:sz w:val="26"/>
        </w:rPr>
      </w:pPr>
      <w:r>
        <w:rPr>
          <w:sz w:val="26"/>
        </w:rPr>
        <w:t>F</w:t>
      </w:r>
      <w:r>
        <w:rPr>
          <w:caps w:val="0"/>
          <w:sz w:val="26"/>
        </w:rPr>
        <w:t>igure</w:t>
      </w:r>
      <w:r>
        <w:rPr>
          <w:sz w:val="26"/>
        </w:rPr>
        <w:t xml:space="preserve"> 7: </w:t>
      </w:r>
      <w:r>
        <w:rPr>
          <w:caps w:val="0"/>
          <w:sz w:val="26"/>
        </w:rPr>
        <w:t>Net Migration o</w:t>
      </w:r>
      <w:r w:rsidRPr="00D53C1C">
        <w:rPr>
          <w:caps w:val="0"/>
          <w:sz w:val="26"/>
        </w:rPr>
        <w:t>f Bangladesh</w:t>
      </w:r>
    </w:p>
    <w:p w14:paraId="407B967B" w14:textId="29B3BB33" w:rsidR="004E46DF" w:rsidRPr="00937EF7" w:rsidRDefault="002C365C" w:rsidP="0000419E">
      <w:pPr>
        <w:spacing w:line="240" w:lineRule="auto"/>
        <w:rPr>
          <w:i/>
          <w:iCs/>
          <w:color w:val="5985BD" w:themeColor="accent4"/>
        </w:rPr>
      </w:pPr>
      <w:r w:rsidRPr="00937EF7">
        <w:rPr>
          <w:i/>
          <w:iCs/>
          <w:noProof/>
          <w:color w:val="5985BD" w:themeColor="accent4"/>
          <w:lang w:eastAsia="en-US"/>
        </w:rPr>
        <w:drawing>
          <wp:inline distT="0" distB="0" distL="0" distR="0" wp14:anchorId="10366684" wp14:editId="48FACE49">
            <wp:extent cx="7265963" cy="274298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66537" cy="2743200"/>
                    </a:xfrm>
                    <a:prstGeom prst="rect">
                      <a:avLst/>
                    </a:prstGeom>
                    <a:noFill/>
                  </pic:spPr>
                </pic:pic>
              </a:graphicData>
            </a:graphic>
          </wp:inline>
        </w:drawing>
      </w:r>
    </w:p>
    <w:p w14:paraId="1223659C" w14:textId="6D420B09" w:rsidR="000D3CA1" w:rsidRDefault="008F50FF" w:rsidP="0000419E">
      <w:pPr>
        <w:spacing w:line="240" w:lineRule="auto"/>
        <w:rPr>
          <w:rStyle w:val="textlayer--absolute"/>
          <w:rFonts w:cs="Times New Roman"/>
        </w:rPr>
      </w:pPr>
      <w:r w:rsidRPr="00937EF7">
        <w:rPr>
          <w:rStyle w:val="textlayer--absolute"/>
          <w:rFonts w:cs="Times New Roman"/>
        </w:rPr>
        <w:t>Source:https://population.un.org/wpp/Download/Standard/Migration/</w:t>
      </w:r>
    </w:p>
    <w:p w14:paraId="19753AFF" w14:textId="77777777" w:rsidR="00A5092C" w:rsidRPr="00A5092C" w:rsidRDefault="00A5092C" w:rsidP="0000419E">
      <w:pPr>
        <w:spacing w:line="240" w:lineRule="auto"/>
        <w:rPr>
          <w:rStyle w:val="Hyperlink"/>
          <w:rFonts w:cs="Times New Roman"/>
          <w:color w:val="auto"/>
          <w:sz w:val="14"/>
        </w:rPr>
      </w:pPr>
    </w:p>
    <w:p w14:paraId="09A098B8" w14:textId="194912C7" w:rsidR="007D0930" w:rsidRPr="00937EF7" w:rsidRDefault="007D0930" w:rsidP="0000419E">
      <w:pPr>
        <w:pStyle w:val="Heading1"/>
        <w:spacing w:before="0" w:after="0" w:line="240" w:lineRule="auto"/>
      </w:pPr>
      <w:r w:rsidRPr="00937EF7">
        <w:t>Migration Flows</w:t>
      </w:r>
      <w:bookmarkEnd w:id="4"/>
    </w:p>
    <w:p w14:paraId="614A8FD8" w14:textId="5D24724D" w:rsidR="00492EC4" w:rsidRPr="00A5092C" w:rsidRDefault="00492EC4" w:rsidP="0000419E">
      <w:pPr>
        <w:pStyle w:val="Heading1"/>
        <w:numPr>
          <w:ilvl w:val="0"/>
          <w:numId w:val="0"/>
        </w:numPr>
        <w:spacing w:before="0" w:after="0" w:line="240" w:lineRule="auto"/>
        <w:rPr>
          <w:sz w:val="24"/>
        </w:rPr>
      </w:pPr>
      <w:r w:rsidRPr="00A5092C">
        <w:rPr>
          <w:caps w:val="0"/>
          <w:sz w:val="24"/>
        </w:rPr>
        <w:t xml:space="preserve">Figure 8: </w:t>
      </w:r>
      <w:r w:rsidR="00A76964" w:rsidRPr="00A5092C">
        <w:rPr>
          <w:caps w:val="0"/>
          <w:sz w:val="24"/>
        </w:rPr>
        <w:t xml:space="preserve">Immigration from Bangladesh to EU27 and </w:t>
      </w:r>
      <w:r w:rsidRPr="00A5092C">
        <w:rPr>
          <w:caps w:val="0"/>
          <w:sz w:val="24"/>
        </w:rPr>
        <w:t>Emigration from EU27 to Bangladesh</w:t>
      </w:r>
    </w:p>
    <w:p w14:paraId="13D14564" w14:textId="07A0A8CB" w:rsidR="009C623B" w:rsidRPr="00937EF7" w:rsidRDefault="00A76964" w:rsidP="0000419E">
      <w:pPr>
        <w:spacing w:line="240" w:lineRule="auto"/>
        <w:rPr>
          <w:color w:val="5985BD" w:themeColor="accent4"/>
        </w:rPr>
      </w:pPr>
      <w:r>
        <w:rPr>
          <w:noProof/>
          <w:lang w:eastAsia="en-US"/>
        </w:rPr>
        <w:drawing>
          <wp:inline distT="0" distB="0" distL="0" distR="0" wp14:anchorId="39782C51" wp14:editId="018D7854">
            <wp:extent cx="5535637" cy="2553286"/>
            <wp:effectExtent l="0" t="0" r="27305"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A37E854" w14:textId="77777777" w:rsidR="00644E0D" w:rsidRDefault="00BF1F7E" w:rsidP="0000419E">
      <w:pPr>
        <w:spacing w:line="240" w:lineRule="auto"/>
        <w:rPr>
          <w:rStyle w:val="textlayer--absolute"/>
          <w:rFonts w:cs="Calibri"/>
        </w:rPr>
      </w:pPr>
      <w:r w:rsidRPr="00937EF7">
        <w:rPr>
          <w:rStyle w:val="textlayer--absolute"/>
          <w:rFonts w:cs="Calibri"/>
        </w:rPr>
        <w:t>https://ec.europa.eu/eurostat/web/main/home</w:t>
      </w:r>
    </w:p>
    <w:p w14:paraId="3779E128" w14:textId="77777777" w:rsidR="00075125" w:rsidRDefault="00075125" w:rsidP="0000419E">
      <w:pPr>
        <w:spacing w:line="240" w:lineRule="auto"/>
        <w:rPr>
          <w:rStyle w:val="textlayer--absolute"/>
          <w:rFonts w:cs="Calibri"/>
        </w:rPr>
      </w:pPr>
    </w:p>
    <w:p w14:paraId="26313E83" w14:textId="6100101F" w:rsidR="00644E0D" w:rsidRDefault="00A76964" w:rsidP="0000419E">
      <w:pPr>
        <w:spacing w:line="240" w:lineRule="auto"/>
        <w:rPr>
          <w:sz w:val="24"/>
          <w:szCs w:val="24"/>
        </w:rPr>
      </w:pPr>
      <w:r>
        <w:rPr>
          <w:sz w:val="24"/>
          <w:szCs w:val="24"/>
        </w:rPr>
        <w:lastRenderedPageBreak/>
        <w:t>The Figure 8 above presents a great number of Bangladeshis entering into EU countries every year and the year 2020 has the lowest entries of Bangladeshis into EU countries owing to COVID-19 pandemic. T</w:t>
      </w:r>
      <w:r w:rsidR="00644E0D">
        <w:rPr>
          <w:sz w:val="24"/>
          <w:szCs w:val="24"/>
        </w:rPr>
        <w:t>here is a steady increase in the number of EU citizens entering into Bangladesh and 2019 is the year when the highest number of EU citizens came into Bangladesh.</w:t>
      </w:r>
      <w:r>
        <w:rPr>
          <w:sz w:val="24"/>
          <w:szCs w:val="24"/>
        </w:rPr>
        <w:t xml:space="preserve"> </w:t>
      </w:r>
      <w:r w:rsidR="009E0382">
        <w:rPr>
          <w:sz w:val="24"/>
          <w:szCs w:val="24"/>
        </w:rPr>
        <w:t xml:space="preserve">There is downtrend in 2020 due to travel restrictions imposed by corona virus. </w:t>
      </w:r>
    </w:p>
    <w:p w14:paraId="1C052773" w14:textId="3942AA49" w:rsidR="00B47DAE" w:rsidRPr="00D9093C" w:rsidRDefault="00A32EA5" w:rsidP="0000419E">
      <w:pPr>
        <w:pStyle w:val="Heading1"/>
        <w:spacing w:line="240" w:lineRule="auto"/>
        <w:ind w:left="357" w:hanging="357"/>
      </w:pPr>
      <w:r w:rsidRPr="00937EF7">
        <w:t>Irregular Migration</w:t>
      </w:r>
      <w:r w:rsidR="00D9093C">
        <w:t xml:space="preserve">: </w:t>
      </w:r>
      <w:r w:rsidR="00723140" w:rsidRPr="00D9093C">
        <w:rPr>
          <w:sz w:val="24"/>
        </w:rPr>
        <w:t>between Bangladesh and the EU</w:t>
      </w:r>
    </w:p>
    <w:p w14:paraId="5DEC1F33" w14:textId="0BC7C44E" w:rsidR="00B47DAE" w:rsidRPr="00D9093C" w:rsidRDefault="00C637F3" w:rsidP="0000419E">
      <w:pPr>
        <w:spacing w:line="240" w:lineRule="auto"/>
        <w:rPr>
          <w:iCs/>
          <w:sz w:val="20"/>
        </w:rPr>
      </w:pPr>
      <w:r w:rsidRPr="00D9093C">
        <w:rPr>
          <w:b/>
          <w:caps/>
          <w:sz w:val="24"/>
        </w:rPr>
        <w:t>F</w:t>
      </w:r>
      <w:r w:rsidR="00423721" w:rsidRPr="00D9093C">
        <w:rPr>
          <w:b/>
          <w:sz w:val="24"/>
        </w:rPr>
        <w:t>igure 9</w:t>
      </w:r>
      <w:r w:rsidRPr="00D9093C">
        <w:rPr>
          <w:b/>
          <w:caps/>
          <w:sz w:val="24"/>
        </w:rPr>
        <w:t>:</w:t>
      </w:r>
      <w:r w:rsidRPr="00D9093C">
        <w:rPr>
          <w:caps/>
          <w:sz w:val="24"/>
        </w:rPr>
        <w:t xml:space="preserve"> </w:t>
      </w:r>
      <w:r w:rsidR="00537BD5" w:rsidRPr="00D9093C">
        <w:rPr>
          <w:b/>
          <w:iCs/>
          <w:sz w:val="24"/>
        </w:rPr>
        <w:t>Third country nationals found to be illegally present - annual data</w:t>
      </w:r>
    </w:p>
    <w:p w14:paraId="26C3A89A" w14:textId="15DAD2FD" w:rsidR="00537BD5" w:rsidRPr="00937EF7" w:rsidRDefault="00537BD5" w:rsidP="0000419E">
      <w:pPr>
        <w:spacing w:line="240" w:lineRule="auto"/>
        <w:rPr>
          <w:iCs/>
        </w:rPr>
      </w:pPr>
      <w:r w:rsidRPr="00937EF7">
        <w:rPr>
          <w:noProof/>
          <w:lang w:eastAsia="en-US"/>
        </w:rPr>
        <w:drawing>
          <wp:inline distT="0" distB="0" distL="0" distR="0" wp14:anchorId="06DCE631" wp14:editId="07E137F0">
            <wp:extent cx="5324621" cy="2173458"/>
            <wp:effectExtent l="0" t="0" r="9525" b="177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D90B25A" w14:textId="69369509" w:rsidR="00537BD5" w:rsidRPr="00D9093C" w:rsidRDefault="00BF1F7E" w:rsidP="0000419E">
      <w:pPr>
        <w:spacing w:line="240" w:lineRule="auto"/>
        <w:rPr>
          <w:iCs/>
          <w:sz w:val="12"/>
        </w:rPr>
      </w:pPr>
      <w:r w:rsidRPr="00937EF7">
        <w:rPr>
          <w:rStyle w:val="textlayer--absolute"/>
          <w:rFonts w:cs="Calibri"/>
        </w:rPr>
        <w:t>https://ec.europa.eu/eurostat/web/main/home</w:t>
      </w:r>
      <w:r w:rsidRPr="00937EF7">
        <w:rPr>
          <w:rFonts w:cs="Calibri"/>
        </w:rPr>
        <w:br/>
      </w:r>
    </w:p>
    <w:p w14:paraId="00582BFF" w14:textId="79860F47" w:rsidR="000D66B2" w:rsidRDefault="000D66B2" w:rsidP="0000419E">
      <w:pPr>
        <w:spacing w:line="240" w:lineRule="auto"/>
        <w:rPr>
          <w:iCs/>
          <w:sz w:val="24"/>
          <w:szCs w:val="24"/>
        </w:rPr>
      </w:pPr>
      <w:r w:rsidRPr="000D66B2">
        <w:rPr>
          <w:iCs/>
          <w:sz w:val="24"/>
          <w:szCs w:val="24"/>
        </w:rPr>
        <w:t xml:space="preserve">The data </w:t>
      </w:r>
      <w:r w:rsidR="00423721">
        <w:rPr>
          <w:iCs/>
          <w:sz w:val="24"/>
          <w:szCs w:val="24"/>
        </w:rPr>
        <w:t>shown in Figure 9</w:t>
      </w:r>
      <w:r>
        <w:rPr>
          <w:iCs/>
          <w:sz w:val="24"/>
          <w:szCs w:val="24"/>
        </w:rPr>
        <w:t xml:space="preserve"> above clearly points out the growing number of illegal Bangladeshi migrants in the EU countries over a period of five years from 2017 to 2021. It also shows that the number is alarmingly spiraling to its peak in 2021. </w:t>
      </w:r>
    </w:p>
    <w:p w14:paraId="4B8D7BF9" w14:textId="77777777" w:rsidR="00075125" w:rsidRDefault="00075125" w:rsidP="0000419E">
      <w:pPr>
        <w:spacing w:line="240" w:lineRule="auto"/>
        <w:rPr>
          <w:b/>
          <w:iCs/>
          <w:sz w:val="26"/>
        </w:rPr>
      </w:pPr>
    </w:p>
    <w:p w14:paraId="1798959F" w14:textId="3303A1FE" w:rsidR="00537BD5" w:rsidRPr="00937EF7" w:rsidRDefault="00A4447A" w:rsidP="0000419E">
      <w:pPr>
        <w:spacing w:line="240" w:lineRule="auto"/>
        <w:rPr>
          <w:iCs/>
        </w:rPr>
      </w:pPr>
      <w:r>
        <w:rPr>
          <w:b/>
          <w:iCs/>
          <w:sz w:val="26"/>
        </w:rPr>
        <w:t>Figure 1</w:t>
      </w:r>
      <w:r w:rsidR="00423721">
        <w:rPr>
          <w:b/>
          <w:iCs/>
          <w:sz w:val="26"/>
        </w:rPr>
        <w:t>0</w:t>
      </w:r>
      <w:r w:rsidR="00C637F3">
        <w:rPr>
          <w:b/>
          <w:iCs/>
          <w:sz w:val="26"/>
        </w:rPr>
        <w:t xml:space="preserve">: </w:t>
      </w:r>
      <w:r w:rsidR="006A43A7" w:rsidRPr="00586EBD">
        <w:rPr>
          <w:b/>
          <w:iCs/>
          <w:sz w:val="26"/>
        </w:rPr>
        <w:t>Third country nationals refused entry at the external borders - annual data</w:t>
      </w:r>
      <w:r w:rsidR="006A43A7" w:rsidRPr="00937EF7">
        <w:rPr>
          <w:iCs/>
        </w:rPr>
        <w:t xml:space="preserve"> </w:t>
      </w:r>
    </w:p>
    <w:p w14:paraId="42DE5265" w14:textId="7503CAD4" w:rsidR="006A43A7" w:rsidRPr="00937EF7" w:rsidRDefault="006A43A7" w:rsidP="0000419E">
      <w:pPr>
        <w:spacing w:line="240" w:lineRule="auto"/>
        <w:rPr>
          <w:iCs/>
        </w:rPr>
      </w:pPr>
      <w:r w:rsidRPr="00937EF7">
        <w:rPr>
          <w:noProof/>
          <w:lang w:eastAsia="en-US"/>
        </w:rPr>
        <w:drawing>
          <wp:inline distT="0" distB="0" distL="0" distR="0" wp14:anchorId="2D8920DA" wp14:editId="3933792D">
            <wp:extent cx="5394960" cy="1920240"/>
            <wp:effectExtent l="0" t="0" r="15240" b="228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5DF8724" w14:textId="6E005EAC" w:rsidR="006A43A7" w:rsidRDefault="00BF1F7E" w:rsidP="0000419E">
      <w:pPr>
        <w:spacing w:line="240" w:lineRule="auto"/>
        <w:rPr>
          <w:iCs/>
        </w:rPr>
      </w:pPr>
      <w:r w:rsidRPr="00937EF7">
        <w:rPr>
          <w:rStyle w:val="textlayer--absolute"/>
          <w:rFonts w:cs="Calibri"/>
        </w:rPr>
        <w:t>https://ec.europa.eu/eurostat/web/main/home</w:t>
      </w:r>
      <w:r w:rsidRPr="00937EF7">
        <w:rPr>
          <w:rFonts w:cs="Calibri"/>
        </w:rPr>
        <w:br/>
      </w:r>
    </w:p>
    <w:p w14:paraId="3CC86C15" w14:textId="30FA2072" w:rsidR="009E2290" w:rsidRDefault="009E2290" w:rsidP="0000419E">
      <w:pPr>
        <w:spacing w:line="240" w:lineRule="auto"/>
        <w:rPr>
          <w:iCs/>
        </w:rPr>
      </w:pPr>
      <w:r w:rsidRPr="000D66B2">
        <w:rPr>
          <w:iCs/>
          <w:sz w:val="24"/>
          <w:szCs w:val="24"/>
        </w:rPr>
        <w:lastRenderedPageBreak/>
        <w:t xml:space="preserve">The data </w:t>
      </w:r>
      <w:r w:rsidR="00423721">
        <w:rPr>
          <w:iCs/>
          <w:sz w:val="24"/>
          <w:szCs w:val="24"/>
        </w:rPr>
        <w:t>in Figure 10</w:t>
      </w:r>
      <w:r w:rsidR="00A4447A">
        <w:rPr>
          <w:iCs/>
          <w:sz w:val="24"/>
          <w:szCs w:val="24"/>
        </w:rPr>
        <w:t xml:space="preserve"> </w:t>
      </w:r>
      <w:r>
        <w:rPr>
          <w:iCs/>
          <w:sz w:val="24"/>
          <w:szCs w:val="24"/>
        </w:rPr>
        <w:t xml:space="preserve">above clearly shows that the </w:t>
      </w:r>
      <w:r w:rsidR="00C61D03">
        <w:rPr>
          <w:iCs/>
          <w:sz w:val="24"/>
          <w:szCs w:val="24"/>
        </w:rPr>
        <w:t xml:space="preserve">declining </w:t>
      </w:r>
      <w:r>
        <w:rPr>
          <w:iCs/>
          <w:sz w:val="24"/>
          <w:szCs w:val="24"/>
        </w:rPr>
        <w:t xml:space="preserve">number of Bangladeshi migrants being </w:t>
      </w:r>
      <w:r w:rsidRPr="009E2290">
        <w:rPr>
          <w:iCs/>
          <w:sz w:val="26"/>
        </w:rPr>
        <w:t>refused entry at the external borders</w:t>
      </w:r>
      <w:r>
        <w:rPr>
          <w:iCs/>
          <w:sz w:val="24"/>
          <w:szCs w:val="24"/>
        </w:rPr>
        <w:t xml:space="preserve"> of the EU countries over a period of five years from 2017 to 2021. </w:t>
      </w:r>
      <w:r w:rsidR="00C61D03">
        <w:rPr>
          <w:iCs/>
          <w:sz w:val="24"/>
          <w:szCs w:val="24"/>
        </w:rPr>
        <w:t xml:space="preserve">It also shows that the number is surprisingly diminishing to its nadir in 2021. </w:t>
      </w:r>
    </w:p>
    <w:p w14:paraId="1A097F9F" w14:textId="298DA631" w:rsidR="007D0930" w:rsidRPr="00937EF7" w:rsidRDefault="00DB3422" w:rsidP="0000419E">
      <w:pPr>
        <w:pStyle w:val="Heading1"/>
        <w:spacing w:line="240" w:lineRule="auto"/>
      </w:pPr>
      <w:r w:rsidRPr="00937EF7">
        <w:t>Internal and International Displacement</w:t>
      </w:r>
    </w:p>
    <w:p w14:paraId="218A9F69" w14:textId="77777777" w:rsidR="00580B88" w:rsidRPr="001266D1" w:rsidRDefault="00580B88" w:rsidP="00580B88">
      <w:pPr>
        <w:pStyle w:val="font8"/>
        <w:rPr>
          <w:rFonts w:asciiTheme="minorHAnsi" w:hAnsiTheme="minorHAnsi"/>
          <w:b/>
        </w:rPr>
      </w:pPr>
      <w:r w:rsidRPr="001266D1">
        <w:rPr>
          <w:rFonts w:asciiTheme="minorHAnsi" w:hAnsiTheme="minorHAnsi"/>
          <w:b/>
        </w:rPr>
        <w:t>Internally Displaced Persons (IDPs) in Bangladesh</w:t>
      </w:r>
    </w:p>
    <w:p w14:paraId="5E123F95" w14:textId="77777777" w:rsidR="00580B88" w:rsidRPr="001266D1" w:rsidRDefault="00580B88" w:rsidP="00580B88">
      <w:pPr>
        <w:pStyle w:val="font8"/>
        <w:jc w:val="both"/>
        <w:rPr>
          <w:rStyle w:val="markedcontent"/>
          <w:rFonts w:asciiTheme="minorHAnsi" w:hAnsiTheme="minorHAnsi" w:cs="Arial"/>
        </w:rPr>
      </w:pPr>
      <w:r w:rsidRPr="001266D1">
        <w:rPr>
          <w:rStyle w:val="markedcontent"/>
          <w:rFonts w:asciiTheme="minorHAnsi" w:hAnsiTheme="minorHAnsi" w:cs="Arial"/>
        </w:rPr>
        <w:t xml:space="preserve">The history of internal displacement in Bangladesh dates back to its independence in 1971 when almost a third of its population was displaced. However, since then, climate change and ethnic conflict have also contributed to internal displacement. Bangladesh currently places seventeenth out of the countries with the largest number of IDPs. As of 31 December 2021, there were a total of 427,000 IDPs in Bangladesh as a result of conflict or violence and approximately 99,000 IDPs as a result of disasters. </w:t>
      </w:r>
    </w:p>
    <w:p w14:paraId="7D1E190F" w14:textId="77777777" w:rsidR="00580B88" w:rsidRPr="001266D1" w:rsidRDefault="00580B88" w:rsidP="00580B88">
      <w:pPr>
        <w:pStyle w:val="font8"/>
        <w:jc w:val="both"/>
        <w:rPr>
          <w:rStyle w:val="markedcontent"/>
          <w:rFonts w:asciiTheme="minorHAnsi" w:hAnsiTheme="minorHAnsi" w:cs="Arial"/>
        </w:rPr>
      </w:pPr>
      <w:r w:rsidRPr="001266D1">
        <w:rPr>
          <w:rFonts w:asciiTheme="minorHAnsi" w:hAnsiTheme="minorHAnsi" w:cs="Arial"/>
          <w:color w:val="333333"/>
        </w:rPr>
        <w:t xml:space="preserve">The geographical location of Bangladesh and high population density make it one of the world’s most disaster-prone countries. Disasters such as violent storms, cyclones, drought, landslides, riverbank erosion, </w:t>
      </w:r>
      <w:proofErr w:type="gramStart"/>
      <w:r w:rsidRPr="001266D1">
        <w:rPr>
          <w:rFonts w:asciiTheme="minorHAnsi" w:hAnsiTheme="minorHAnsi" w:cs="Arial"/>
          <w:color w:val="333333"/>
        </w:rPr>
        <w:t>salinity</w:t>
      </w:r>
      <w:proofErr w:type="gramEnd"/>
      <w:r w:rsidRPr="001266D1">
        <w:rPr>
          <w:rFonts w:asciiTheme="minorHAnsi" w:hAnsiTheme="minorHAnsi" w:cs="Arial"/>
          <w:color w:val="333333"/>
        </w:rPr>
        <w:t xml:space="preserve">, water-logging and flooding are the main causes of displacement in the country, particularly during the June-September monsoon season.  </w:t>
      </w:r>
    </w:p>
    <w:p w14:paraId="06B43DCD" w14:textId="77777777" w:rsidR="00580B88" w:rsidRPr="001266D1" w:rsidRDefault="00580B88" w:rsidP="00580B88">
      <w:pPr>
        <w:pStyle w:val="font8"/>
        <w:jc w:val="both"/>
        <w:rPr>
          <w:rFonts w:asciiTheme="minorHAnsi" w:hAnsiTheme="minorHAnsi"/>
        </w:rPr>
      </w:pPr>
      <w:r w:rsidRPr="001266D1">
        <w:rPr>
          <w:rFonts w:asciiTheme="minorHAnsi" w:hAnsiTheme="minorHAnsi"/>
        </w:rPr>
        <w:t>According to IDMC, internal displacement due to conflict and violence has declined significantly from 6 thousand in 2017 to 151 in 2021. Internal displacement due to disasters has also decreased from 946,100 in 2017 to 98,800 in 2021 but with a tremendous upsurge in 2019 (4.1 million) and in 2020 (4.4 million).</w:t>
      </w:r>
    </w:p>
    <w:p w14:paraId="4BB3A3C9" w14:textId="77777777" w:rsidR="00580B88" w:rsidRPr="001266D1" w:rsidRDefault="00580B88" w:rsidP="00580B88">
      <w:pPr>
        <w:spacing w:line="240" w:lineRule="auto"/>
        <w:rPr>
          <w:rFonts w:eastAsia="Times New Roman" w:cs="Times New Roman"/>
          <w:b/>
          <w:sz w:val="24"/>
          <w:szCs w:val="24"/>
          <w:lang w:eastAsia="en-US"/>
        </w:rPr>
      </w:pPr>
      <w:r w:rsidRPr="001266D1">
        <w:rPr>
          <w:rFonts w:eastAsia="Times New Roman" w:cs="Times New Roman"/>
          <w:b/>
          <w:sz w:val="24"/>
          <w:szCs w:val="24"/>
          <w:lang w:eastAsia="en-US"/>
        </w:rPr>
        <w:t>Asylum Seekers in Bangladesh</w:t>
      </w:r>
    </w:p>
    <w:p w14:paraId="459F2658" w14:textId="77777777" w:rsidR="00580B88" w:rsidRPr="001266D1" w:rsidRDefault="00580B88" w:rsidP="00580B88">
      <w:pPr>
        <w:spacing w:line="240" w:lineRule="auto"/>
        <w:rPr>
          <w:b/>
          <w:bCs/>
          <w:caps/>
          <w:sz w:val="24"/>
          <w:szCs w:val="24"/>
        </w:rPr>
      </w:pPr>
      <w:r w:rsidRPr="001266D1">
        <w:rPr>
          <w:rFonts w:eastAsia="Times New Roman" w:cs="Times New Roman"/>
          <w:sz w:val="24"/>
          <w:szCs w:val="24"/>
          <w:lang w:eastAsia="en-US"/>
        </w:rPr>
        <w:t>Besides being a country of origin for many asylum seekers, there are also refugees from other countries, who apply for asylum in Bangladesh and hope for a better future. In the year 2021, there have been 26 asylum applications from Somali and 5 asylum applications from Afghan refugees in Bangladesh. (Worlddata.info, UNHCR)</w:t>
      </w:r>
    </w:p>
    <w:p w14:paraId="058ECD06" w14:textId="77777777" w:rsidR="00580B88" w:rsidRPr="001266D1" w:rsidRDefault="00580B88" w:rsidP="00580B88">
      <w:pPr>
        <w:spacing w:line="240" w:lineRule="auto"/>
        <w:rPr>
          <w:b/>
          <w:bCs/>
          <w:caps/>
          <w:sz w:val="24"/>
          <w:szCs w:val="24"/>
        </w:rPr>
      </w:pPr>
      <w:r w:rsidRPr="001266D1">
        <w:rPr>
          <w:b/>
          <w:bCs/>
          <w:caps/>
          <w:sz w:val="24"/>
          <w:szCs w:val="24"/>
        </w:rPr>
        <w:tab/>
      </w:r>
    </w:p>
    <w:p w14:paraId="525C047E" w14:textId="77777777" w:rsidR="00580B88" w:rsidRPr="001266D1" w:rsidRDefault="00580B88" w:rsidP="00580B88">
      <w:pPr>
        <w:spacing w:line="240" w:lineRule="auto"/>
        <w:rPr>
          <w:b/>
          <w:bCs/>
          <w:sz w:val="24"/>
          <w:szCs w:val="24"/>
        </w:rPr>
      </w:pPr>
      <w:r w:rsidRPr="001266D1">
        <w:rPr>
          <w:b/>
          <w:bCs/>
          <w:sz w:val="24"/>
          <w:szCs w:val="24"/>
        </w:rPr>
        <w:t>Refugees in Bangladesh</w:t>
      </w:r>
    </w:p>
    <w:p w14:paraId="2F254126" w14:textId="53C78AB0" w:rsidR="00580B88" w:rsidRPr="001266D1" w:rsidRDefault="00580B88" w:rsidP="00580B88">
      <w:pPr>
        <w:spacing w:line="240" w:lineRule="auto"/>
        <w:rPr>
          <w:rFonts w:eastAsia="Times New Roman" w:cs="Times New Roman"/>
          <w:sz w:val="24"/>
          <w:szCs w:val="24"/>
          <w:lang w:eastAsia="en-US"/>
        </w:rPr>
      </w:pPr>
      <w:r w:rsidRPr="001266D1">
        <w:rPr>
          <w:bCs/>
          <w:caps/>
          <w:sz w:val="24"/>
          <w:szCs w:val="24"/>
        </w:rPr>
        <w:t>B</w:t>
      </w:r>
      <w:r w:rsidRPr="001266D1">
        <w:rPr>
          <w:bCs/>
          <w:sz w:val="24"/>
          <w:szCs w:val="24"/>
        </w:rPr>
        <w:t xml:space="preserve">angladesh is one of the most refugee hosting countries in the world. According to UNHCR data, as of 2021, the country hosts </w:t>
      </w:r>
      <w:r w:rsidRPr="001266D1">
        <w:rPr>
          <w:bCs/>
          <w:caps/>
          <w:sz w:val="24"/>
          <w:szCs w:val="24"/>
        </w:rPr>
        <w:t xml:space="preserve">918,907 </w:t>
      </w:r>
      <w:proofErr w:type="spellStart"/>
      <w:r w:rsidRPr="001266D1">
        <w:rPr>
          <w:rFonts w:eastAsia="Times New Roman" w:cs="Times New Roman"/>
          <w:sz w:val="24"/>
          <w:szCs w:val="24"/>
          <w:lang w:eastAsia="en-US"/>
        </w:rPr>
        <w:t>Rohingya</w:t>
      </w:r>
      <w:proofErr w:type="spellEnd"/>
      <w:r w:rsidRPr="001266D1">
        <w:rPr>
          <w:rFonts w:eastAsia="Times New Roman" w:cs="Times New Roman"/>
          <w:sz w:val="24"/>
          <w:szCs w:val="24"/>
          <w:lang w:eastAsia="en-US"/>
        </w:rPr>
        <w:t xml:space="preserve"> refugees from Myanmar. More than 700,000 of these refugees fled </w:t>
      </w:r>
      <w:hyperlink r:id="rId32" w:tgtFrame="_blank" w:history="1">
        <w:r w:rsidRPr="001266D1">
          <w:rPr>
            <w:rFonts w:eastAsia="Times New Roman" w:cs="Times New Roman"/>
            <w:sz w:val="24"/>
            <w:szCs w:val="24"/>
            <w:lang w:eastAsia="en-US"/>
          </w:rPr>
          <w:t>genocide</w:t>
        </w:r>
      </w:hyperlink>
      <w:r w:rsidRPr="001266D1">
        <w:rPr>
          <w:rFonts w:eastAsia="Times New Roman" w:cs="Times New Roman"/>
          <w:sz w:val="24"/>
          <w:szCs w:val="24"/>
          <w:lang w:eastAsia="en-US"/>
        </w:rPr>
        <w:t xml:space="preserve">, persecution, large-scale violence and human rights violations by the Myanmar military in August 2017 and took shelters in neighboring </w:t>
      </w:r>
      <w:r w:rsidR="006A57B4">
        <w:rPr>
          <w:rFonts w:eastAsia="Times New Roman" w:cs="Times New Roman"/>
          <w:sz w:val="24"/>
          <w:szCs w:val="24"/>
          <w:lang w:eastAsia="en-US"/>
        </w:rPr>
        <w:t xml:space="preserve">state </w:t>
      </w:r>
      <w:r w:rsidRPr="001266D1">
        <w:rPr>
          <w:rFonts w:eastAsia="Times New Roman" w:cs="Times New Roman"/>
          <w:sz w:val="24"/>
          <w:szCs w:val="24"/>
          <w:lang w:eastAsia="en-US"/>
        </w:rPr>
        <w:t xml:space="preserve">Bangladesh. Five years have passed and there are no immediate solutions on the cards resulting in a protracted humanitarian crisis. This prolonged displacement and uncertainty about the future of the </w:t>
      </w:r>
      <w:proofErr w:type="spellStart"/>
      <w:r w:rsidRPr="001266D1">
        <w:rPr>
          <w:rFonts w:eastAsia="Times New Roman" w:cs="Times New Roman"/>
          <w:sz w:val="24"/>
          <w:szCs w:val="24"/>
          <w:lang w:eastAsia="en-US"/>
        </w:rPr>
        <w:t>Rohingya</w:t>
      </w:r>
      <w:proofErr w:type="spellEnd"/>
      <w:r w:rsidRPr="001266D1">
        <w:rPr>
          <w:rFonts w:eastAsia="Times New Roman" w:cs="Times New Roman"/>
          <w:sz w:val="24"/>
          <w:szCs w:val="24"/>
          <w:lang w:eastAsia="en-US"/>
        </w:rPr>
        <w:t xml:space="preserve"> and their return is a major cause of concern for all. Moreover, the </w:t>
      </w:r>
      <w:proofErr w:type="spellStart"/>
      <w:r w:rsidRPr="001266D1">
        <w:rPr>
          <w:rFonts w:eastAsia="Times New Roman" w:cs="Times New Roman"/>
          <w:sz w:val="24"/>
          <w:szCs w:val="24"/>
          <w:lang w:eastAsia="en-US"/>
        </w:rPr>
        <w:lastRenderedPageBreak/>
        <w:t>Rohingya</w:t>
      </w:r>
      <w:proofErr w:type="spellEnd"/>
      <w:r w:rsidRPr="001266D1">
        <w:rPr>
          <w:rFonts w:eastAsia="Times New Roman" w:cs="Times New Roman"/>
          <w:sz w:val="24"/>
          <w:szCs w:val="24"/>
          <w:lang w:eastAsia="en-US"/>
        </w:rPr>
        <w:t xml:space="preserve"> refugees have been accommodated in the camps in Cox’s Bazar district</w:t>
      </w:r>
      <w:r w:rsidR="00CA454E">
        <w:rPr>
          <w:rFonts w:eastAsia="Times New Roman" w:cs="Times New Roman"/>
          <w:sz w:val="24"/>
          <w:szCs w:val="24"/>
          <w:lang w:eastAsia="en-US"/>
        </w:rPr>
        <w:t xml:space="preserve"> and many have been relocated to</w:t>
      </w:r>
      <w:r w:rsidRPr="001266D1">
        <w:rPr>
          <w:rFonts w:eastAsia="Times New Roman" w:cs="Times New Roman"/>
          <w:sz w:val="24"/>
          <w:szCs w:val="24"/>
          <w:lang w:eastAsia="en-US"/>
        </w:rPr>
        <w:t xml:space="preserve"> </w:t>
      </w:r>
      <w:proofErr w:type="spellStart"/>
      <w:r w:rsidRPr="001266D1">
        <w:rPr>
          <w:rFonts w:eastAsia="Times New Roman" w:cs="Times New Roman"/>
          <w:sz w:val="24"/>
          <w:szCs w:val="24"/>
          <w:lang w:eastAsia="en-US"/>
        </w:rPr>
        <w:t>Bhashan</w:t>
      </w:r>
      <w:proofErr w:type="spellEnd"/>
      <w:r w:rsidRPr="001266D1">
        <w:rPr>
          <w:rFonts w:eastAsia="Times New Roman" w:cs="Times New Roman"/>
          <w:sz w:val="24"/>
          <w:szCs w:val="24"/>
          <w:lang w:eastAsia="en-US"/>
        </w:rPr>
        <w:t xml:space="preserve"> Char. They are provided with the bare necessities of life such as protection, food, water, shelter, health care and education by the government of Bangladesh, supported by international donors and humanitarian actors. </w:t>
      </w:r>
    </w:p>
    <w:p w14:paraId="43410D72" w14:textId="05596544" w:rsidR="00580B88" w:rsidRPr="001266D1" w:rsidRDefault="00580B88" w:rsidP="00580B88">
      <w:pPr>
        <w:spacing w:line="240" w:lineRule="auto"/>
        <w:rPr>
          <w:rFonts w:eastAsia="Times New Roman" w:cs="Times New Roman"/>
          <w:sz w:val="24"/>
          <w:szCs w:val="24"/>
          <w:lang w:eastAsia="en-US"/>
        </w:rPr>
      </w:pPr>
      <w:r w:rsidRPr="001266D1">
        <w:rPr>
          <w:rFonts w:eastAsia="Times New Roman" w:cs="Times New Roman"/>
          <w:sz w:val="24"/>
          <w:szCs w:val="24"/>
          <w:lang w:eastAsia="en-US"/>
        </w:rPr>
        <w:t xml:space="preserve">According to the UNHCR data, the refugee population in Bangladesh has remarkably increased over the last 10 years from 2012 to 2021. In 2012, the number was 230,700. There had been almost no change until 2015 but in 2016 the number of refugees went up to 276,200. In 2017, the number changed dramatically to </w:t>
      </w:r>
      <w:r w:rsidR="00CA454E">
        <w:rPr>
          <w:rFonts w:eastAsia="Times New Roman" w:cs="Times New Roman"/>
          <w:sz w:val="24"/>
          <w:szCs w:val="24"/>
          <w:lang w:eastAsia="en-US"/>
        </w:rPr>
        <w:t xml:space="preserve">reach an astonishing figure </w:t>
      </w:r>
      <w:r w:rsidRPr="001266D1">
        <w:rPr>
          <w:rFonts w:eastAsia="Times New Roman" w:cs="Times New Roman"/>
          <w:sz w:val="24"/>
          <w:szCs w:val="24"/>
          <w:lang w:eastAsia="en-US"/>
        </w:rPr>
        <w:t xml:space="preserve">932,210 when people from Myanmar crossed border to save lives. </w:t>
      </w:r>
      <w:r w:rsidR="00895E74">
        <w:rPr>
          <w:rFonts w:eastAsia="Times New Roman" w:cs="Times New Roman"/>
          <w:sz w:val="24"/>
          <w:szCs w:val="24"/>
          <w:lang w:eastAsia="en-US"/>
        </w:rPr>
        <w:t>(UNHCR)</w:t>
      </w:r>
    </w:p>
    <w:p w14:paraId="31ADA28F" w14:textId="77777777" w:rsidR="00580B88" w:rsidRPr="002C3CA8" w:rsidRDefault="00580B88" w:rsidP="00580B88">
      <w:pPr>
        <w:spacing w:before="100" w:beforeAutospacing="1" w:after="100" w:afterAutospacing="1" w:line="240" w:lineRule="auto"/>
        <w:rPr>
          <w:rFonts w:eastAsia="Times New Roman" w:cs="Times New Roman"/>
          <w:b/>
          <w:sz w:val="24"/>
          <w:szCs w:val="24"/>
          <w:lang w:eastAsia="en-US"/>
        </w:rPr>
      </w:pPr>
      <w:r w:rsidRPr="002C3CA8">
        <w:rPr>
          <w:rFonts w:eastAsia="Times New Roman" w:cs="Times New Roman"/>
          <w:b/>
          <w:sz w:val="24"/>
          <w:szCs w:val="24"/>
          <w:lang w:eastAsia="en-US"/>
        </w:rPr>
        <w:t xml:space="preserve">International Obligations on Bangladesh </w:t>
      </w:r>
    </w:p>
    <w:p w14:paraId="6D42211D" w14:textId="59E1E756" w:rsidR="00580B88" w:rsidRPr="001266D1" w:rsidRDefault="00580B88" w:rsidP="00580B88">
      <w:pPr>
        <w:spacing w:before="100" w:beforeAutospacing="1" w:after="100" w:afterAutospacing="1" w:line="240" w:lineRule="auto"/>
        <w:rPr>
          <w:rFonts w:eastAsia="Times New Roman" w:cs="Times New Roman"/>
          <w:sz w:val="24"/>
          <w:szCs w:val="24"/>
          <w:lang w:eastAsia="en-US"/>
        </w:rPr>
      </w:pPr>
      <w:r w:rsidRPr="001266D1">
        <w:rPr>
          <w:rFonts w:eastAsia="Times New Roman" w:cs="Times New Roman"/>
          <w:sz w:val="24"/>
          <w:szCs w:val="24"/>
          <w:lang w:eastAsia="en-US"/>
        </w:rPr>
        <w:t xml:space="preserve"> </w:t>
      </w:r>
      <w:r w:rsidR="00753DDF">
        <w:rPr>
          <w:sz w:val="24"/>
          <w:szCs w:val="24"/>
        </w:rPr>
        <w:t>Even t</w:t>
      </w:r>
      <w:r w:rsidRPr="001266D1">
        <w:rPr>
          <w:sz w:val="24"/>
          <w:szCs w:val="24"/>
        </w:rPr>
        <w:t xml:space="preserve">hough not a </w:t>
      </w:r>
      <w:r w:rsidR="003E29D8">
        <w:rPr>
          <w:sz w:val="24"/>
          <w:szCs w:val="24"/>
        </w:rPr>
        <w:t>signatory</w:t>
      </w:r>
      <w:r w:rsidRPr="001266D1">
        <w:rPr>
          <w:sz w:val="24"/>
          <w:szCs w:val="24"/>
        </w:rPr>
        <w:t xml:space="preserve"> to the 1951 Convention</w:t>
      </w:r>
      <w:r w:rsidR="00753DDF">
        <w:rPr>
          <w:sz w:val="24"/>
          <w:szCs w:val="24"/>
        </w:rPr>
        <w:t xml:space="preserve"> and its 1967 Protocol</w:t>
      </w:r>
      <w:r w:rsidRPr="001266D1">
        <w:rPr>
          <w:sz w:val="24"/>
          <w:szCs w:val="24"/>
        </w:rPr>
        <w:t xml:space="preserve"> or the UNHCR Statute, Bangladesh has ratified a number of major international human rights instruments. Among them the significant ones are the Universal Declaration of Human Rights (UDHR); Four Geneva Convention of 1949 and their two Additional Protocols of 1977; International Covenant on Civil and Political Rights (ICCPR); International Covenant on Economic, Social and Cultural Rights (ICESCR); Convention on the Rights of the Child (CRC); Convention on the Elimination of All Forms of Discrimination Against Women (CEDAW); Convention Against Torture (CAT) etc. All of these instruments have a </w:t>
      </w:r>
      <w:r w:rsidR="00753DDF">
        <w:rPr>
          <w:sz w:val="24"/>
          <w:szCs w:val="24"/>
        </w:rPr>
        <w:t xml:space="preserve">far-reaching bearing </w:t>
      </w:r>
      <w:r w:rsidRPr="001266D1">
        <w:rPr>
          <w:sz w:val="24"/>
          <w:szCs w:val="24"/>
        </w:rPr>
        <w:t xml:space="preserve">on Bangladesh's obligation to protect refugees. </w:t>
      </w:r>
      <w:r w:rsidRPr="001266D1">
        <w:rPr>
          <w:rFonts w:eastAsia="Times New Roman" w:cs="Times New Roman"/>
          <w:sz w:val="24"/>
          <w:szCs w:val="24"/>
          <w:lang w:eastAsia="en-US"/>
        </w:rPr>
        <w:t xml:space="preserve">However, in reality, the international human rights are not enforceable in courts of law unless, specific provisions are incorporated into existing municipal laws or given effect through separate legislations. </w:t>
      </w:r>
    </w:p>
    <w:p w14:paraId="1CFD3539" w14:textId="46B73D94" w:rsidR="00580B88" w:rsidRPr="001266D1" w:rsidRDefault="00580B88" w:rsidP="00580B88">
      <w:pPr>
        <w:spacing w:before="100" w:beforeAutospacing="1" w:after="100" w:afterAutospacing="1" w:line="240" w:lineRule="auto"/>
        <w:rPr>
          <w:sz w:val="24"/>
          <w:szCs w:val="24"/>
        </w:rPr>
      </w:pPr>
      <w:r w:rsidRPr="001266D1">
        <w:rPr>
          <w:rFonts w:eastAsia="Times New Roman" w:cs="Times New Roman"/>
          <w:sz w:val="24"/>
          <w:szCs w:val="24"/>
          <w:lang w:eastAsia="en-US"/>
        </w:rPr>
        <w:t xml:space="preserve"> </w:t>
      </w:r>
      <w:r w:rsidRPr="001266D1">
        <w:rPr>
          <w:sz w:val="24"/>
          <w:szCs w:val="24"/>
        </w:rPr>
        <w:t>The legislation</w:t>
      </w:r>
      <w:r w:rsidR="00F21F43">
        <w:rPr>
          <w:sz w:val="24"/>
          <w:szCs w:val="24"/>
        </w:rPr>
        <w:t>s</w:t>
      </w:r>
      <w:r w:rsidRPr="001266D1">
        <w:rPr>
          <w:sz w:val="24"/>
          <w:szCs w:val="24"/>
        </w:rPr>
        <w:t xml:space="preserve"> which are used for dealing with refugees are: The Foreigners Act, 1946; The Foreigners Act, 1946; The Foreigners Order, 1951; The Registration of Foreigners Act, 1939; The Registration of Foreigners Rules, 1966; The Passports Act, 1920; The Passport Rules, 1955; The Bangladesh Passport Order, 1973; The Citizenship Act, 1951; The Bangladesh Citizenship (Temporary Provisions) Order, 1972; The Bangladesh Control of Entry Act, 1952; The Extradition Act, 1974; The Naturalization Act, 1926; The Code of Civil Procedure, 1908; The Children Act, 1974</w:t>
      </w:r>
    </w:p>
    <w:p w14:paraId="30D9E753" w14:textId="77777777" w:rsidR="006C18A2" w:rsidRDefault="00580B88" w:rsidP="00580B88">
      <w:pPr>
        <w:spacing w:before="100" w:beforeAutospacing="1" w:after="100" w:afterAutospacing="1" w:line="240" w:lineRule="auto"/>
        <w:rPr>
          <w:rFonts w:eastAsia="Times New Roman" w:cs="Times New Roman"/>
          <w:sz w:val="24"/>
          <w:szCs w:val="24"/>
          <w:lang w:eastAsia="en-US"/>
        </w:rPr>
      </w:pPr>
      <w:r w:rsidRPr="001266D1">
        <w:rPr>
          <w:rFonts w:eastAsia="Times New Roman" w:cs="Times New Roman"/>
          <w:sz w:val="24"/>
          <w:szCs w:val="24"/>
          <w:lang w:eastAsia="en-US"/>
        </w:rPr>
        <w:t xml:space="preserve"> In the absence of any legal or specialized statutory frame work for the protection of refugees, </w:t>
      </w:r>
      <w:r w:rsidR="00AF408F">
        <w:rPr>
          <w:rFonts w:eastAsia="Times New Roman" w:cs="Times New Roman"/>
          <w:sz w:val="24"/>
          <w:szCs w:val="24"/>
          <w:lang w:eastAsia="en-US"/>
        </w:rPr>
        <w:t>Bangladesh relies on these acts</w:t>
      </w:r>
      <w:r w:rsidRPr="001266D1">
        <w:rPr>
          <w:rFonts w:eastAsia="Times New Roman" w:cs="Times New Roman"/>
          <w:sz w:val="24"/>
          <w:szCs w:val="24"/>
          <w:lang w:eastAsia="en-US"/>
        </w:rPr>
        <w:t xml:space="preserve"> to govern the entry, stay and exit of foreigners in Bangladesh. </w:t>
      </w:r>
    </w:p>
    <w:p w14:paraId="56AFC297" w14:textId="0BF15D4B" w:rsidR="00580B88" w:rsidRPr="001266D1" w:rsidRDefault="00580B88" w:rsidP="00580B88">
      <w:pPr>
        <w:spacing w:before="100" w:beforeAutospacing="1" w:after="100" w:afterAutospacing="1" w:line="240" w:lineRule="auto"/>
        <w:rPr>
          <w:rFonts w:eastAsia="Times New Roman" w:cs="Times New Roman"/>
          <w:sz w:val="24"/>
          <w:szCs w:val="24"/>
          <w:lang w:eastAsia="en-US"/>
        </w:rPr>
      </w:pPr>
      <w:r w:rsidRPr="001266D1">
        <w:rPr>
          <w:rFonts w:eastAsia="Times New Roman" w:cs="Times New Roman"/>
          <w:sz w:val="24"/>
          <w:szCs w:val="24"/>
          <w:lang w:eastAsia="en-US"/>
        </w:rPr>
        <w:t>Section 2(a) of the Foreigner Act defines a foreigner, as a person who is not a citizen of Bangladesh, thus covering all refugees within its ambit as well. Section 3 of the Foreigner Act 1946, empowers the Government to enact rules regarding the banning or controlling of the entering, staying and leaving of the foreigners in Bangladesh. Section 4 of the same Act specifically provides that any foreigners can be intervened in a limited space vide this Act.</w:t>
      </w:r>
      <w:r w:rsidR="000439D1">
        <w:rPr>
          <w:rFonts w:eastAsia="Times New Roman" w:cs="Times New Roman"/>
          <w:sz w:val="24"/>
          <w:szCs w:val="24"/>
          <w:lang w:eastAsia="en-US"/>
        </w:rPr>
        <w:t xml:space="preserve"> (DU &amp; International Journal</w:t>
      </w:r>
      <w:r w:rsidR="004C34D9">
        <w:rPr>
          <w:rFonts w:eastAsia="Times New Roman" w:cs="Times New Roman"/>
          <w:sz w:val="24"/>
          <w:szCs w:val="24"/>
          <w:lang w:eastAsia="en-US"/>
        </w:rPr>
        <w:t>s</w:t>
      </w:r>
      <w:r w:rsidR="000439D1">
        <w:rPr>
          <w:rFonts w:eastAsia="Times New Roman" w:cs="Times New Roman"/>
          <w:sz w:val="24"/>
          <w:szCs w:val="24"/>
          <w:lang w:eastAsia="en-US"/>
        </w:rPr>
        <w:t>)</w:t>
      </w:r>
    </w:p>
    <w:p w14:paraId="2FC9022F" w14:textId="1C08DF32" w:rsidR="00580B88" w:rsidRPr="002C3CA8" w:rsidRDefault="00580B88" w:rsidP="00580B88">
      <w:pPr>
        <w:spacing w:before="100" w:beforeAutospacing="1" w:after="100" w:afterAutospacing="1" w:line="240" w:lineRule="auto"/>
        <w:rPr>
          <w:rFonts w:eastAsia="Times New Roman" w:cs="Times New Roman"/>
          <w:b/>
          <w:sz w:val="24"/>
          <w:szCs w:val="24"/>
          <w:lang w:eastAsia="en-US"/>
        </w:rPr>
      </w:pPr>
      <w:r w:rsidRPr="002C3CA8">
        <w:rPr>
          <w:rFonts w:eastAsia="Times New Roman" w:cs="Times New Roman"/>
          <w:b/>
          <w:sz w:val="24"/>
          <w:szCs w:val="24"/>
          <w:lang w:eastAsia="en-US"/>
        </w:rPr>
        <w:lastRenderedPageBreak/>
        <w:t>Protection of Refugee</w:t>
      </w:r>
      <w:r w:rsidR="002C3CA8" w:rsidRPr="002C3CA8">
        <w:rPr>
          <w:rFonts w:eastAsia="Times New Roman" w:cs="Times New Roman"/>
          <w:b/>
          <w:sz w:val="24"/>
          <w:szCs w:val="24"/>
          <w:lang w:eastAsia="en-US"/>
        </w:rPr>
        <w:t>s</w:t>
      </w:r>
      <w:r w:rsidRPr="002C3CA8">
        <w:rPr>
          <w:rFonts w:eastAsia="Times New Roman" w:cs="Times New Roman"/>
          <w:b/>
          <w:sz w:val="24"/>
          <w:szCs w:val="24"/>
          <w:lang w:eastAsia="en-US"/>
        </w:rPr>
        <w:t xml:space="preserve"> under the Constitution </w:t>
      </w:r>
      <w:r w:rsidR="00C602EA">
        <w:rPr>
          <w:rFonts w:eastAsia="Times New Roman" w:cs="Times New Roman"/>
          <w:b/>
          <w:sz w:val="24"/>
          <w:szCs w:val="24"/>
          <w:lang w:eastAsia="en-US"/>
        </w:rPr>
        <w:t xml:space="preserve">and the </w:t>
      </w:r>
      <w:r w:rsidR="001B6482">
        <w:rPr>
          <w:rFonts w:eastAsia="Times New Roman" w:cs="Times New Roman"/>
          <w:b/>
          <w:sz w:val="24"/>
          <w:szCs w:val="24"/>
          <w:lang w:eastAsia="en-US"/>
        </w:rPr>
        <w:t>way-forward</w:t>
      </w:r>
      <w:r w:rsidRPr="002C3CA8">
        <w:rPr>
          <w:rFonts w:eastAsia="Times New Roman" w:cs="Times New Roman"/>
          <w:b/>
          <w:sz w:val="24"/>
          <w:szCs w:val="24"/>
          <w:lang w:eastAsia="en-US"/>
        </w:rPr>
        <w:t xml:space="preserve"> </w:t>
      </w:r>
    </w:p>
    <w:p w14:paraId="4B948AF3" w14:textId="1FBE8393" w:rsidR="00580B88" w:rsidRPr="001266D1" w:rsidRDefault="00527D29" w:rsidP="00580B88">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The asylum seekers from other countries are granted</w:t>
      </w:r>
      <w:r w:rsidR="00580B88" w:rsidRPr="001266D1">
        <w:rPr>
          <w:rFonts w:eastAsia="Times New Roman" w:cs="Times New Roman"/>
          <w:sz w:val="24"/>
          <w:szCs w:val="24"/>
          <w:lang w:eastAsia="en-US"/>
        </w:rPr>
        <w:t xml:space="preserve"> refugee status by the Government of Banglades</w:t>
      </w:r>
      <w:r w:rsidR="00E80023">
        <w:rPr>
          <w:rFonts w:eastAsia="Times New Roman" w:cs="Times New Roman"/>
          <w:sz w:val="24"/>
          <w:szCs w:val="24"/>
          <w:lang w:eastAsia="en-US"/>
        </w:rPr>
        <w:t>h under “Executive Order”. For e</w:t>
      </w:r>
      <w:r w:rsidR="00580B88" w:rsidRPr="001266D1">
        <w:rPr>
          <w:rFonts w:eastAsia="Times New Roman" w:cs="Times New Roman"/>
          <w:sz w:val="24"/>
          <w:szCs w:val="24"/>
          <w:lang w:eastAsia="en-US"/>
        </w:rPr>
        <w:t>xample</w:t>
      </w:r>
      <w:r w:rsidR="00E80023">
        <w:rPr>
          <w:rFonts w:eastAsia="Times New Roman" w:cs="Times New Roman"/>
          <w:sz w:val="24"/>
          <w:szCs w:val="24"/>
          <w:lang w:eastAsia="en-US"/>
        </w:rPr>
        <w:t>,</w:t>
      </w:r>
      <w:r w:rsidR="00580B88" w:rsidRPr="001266D1">
        <w:rPr>
          <w:rFonts w:eastAsia="Times New Roman" w:cs="Times New Roman"/>
          <w:sz w:val="24"/>
          <w:szCs w:val="24"/>
          <w:lang w:eastAsia="en-US"/>
        </w:rPr>
        <w:t xml:space="preserve"> during 1978 and the time between 1991 and 1992, the </w:t>
      </w:r>
      <w:proofErr w:type="spellStart"/>
      <w:r w:rsidR="00580B88" w:rsidRPr="001266D1">
        <w:rPr>
          <w:rFonts w:eastAsia="Times New Roman" w:cs="Times New Roman"/>
          <w:sz w:val="24"/>
          <w:szCs w:val="24"/>
          <w:lang w:eastAsia="en-US"/>
        </w:rPr>
        <w:t>Rohingya</w:t>
      </w:r>
      <w:proofErr w:type="spellEnd"/>
      <w:r w:rsidR="00580B88" w:rsidRPr="001266D1">
        <w:rPr>
          <w:rFonts w:eastAsia="Times New Roman" w:cs="Times New Roman"/>
          <w:sz w:val="24"/>
          <w:szCs w:val="24"/>
          <w:lang w:eastAsia="en-US"/>
        </w:rPr>
        <w:t xml:space="preserve"> asylum seekers from Myanmar, were provided refugee status under Executive orders of the Government of Bangladesh. They were granted prima facie refugee status. During the refugee influx from 1991 to 1992, the Government invited the Int</w:t>
      </w:r>
      <w:r w:rsidR="00E80023">
        <w:rPr>
          <w:rFonts w:eastAsia="Times New Roman" w:cs="Times New Roman"/>
          <w:sz w:val="24"/>
          <w:szCs w:val="24"/>
          <w:lang w:eastAsia="en-US"/>
        </w:rPr>
        <w:t>ernational Refugee Agency UNHCR</w:t>
      </w:r>
      <w:r w:rsidR="00580B88" w:rsidRPr="001266D1">
        <w:rPr>
          <w:rFonts w:eastAsia="Times New Roman" w:cs="Times New Roman"/>
          <w:sz w:val="24"/>
          <w:szCs w:val="24"/>
          <w:lang w:eastAsia="en-US"/>
        </w:rPr>
        <w:t xml:space="preserve"> to launch </w:t>
      </w:r>
      <w:r w:rsidR="00E80023">
        <w:rPr>
          <w:rFonts w:eastAsia="Times New Roman" w:cs="Times New Roman"/>
          <w:sz w:val="24"/>
          <w:szCs w:val="24"/>
          <w:lang w:eastAsia="en-US"/>
        </w:rPr>
        <w:t>its</w:t>
      </w:r>
      <w:r w:rsidR="00580B88" w:rsidRPr="001266D1">
        <w:rPr>
          <w:rFonts w:eastAsia="Times New Roman" w:cs="Times New Roman"/>
          <w:sz w:val="24"/>
          <w:szCs w:val="24"/>
          <w:lang w:eastAsia="en-US"/>
        </w:rPr>
        <w:t xml:space="preserve"> </w:t>
      </w:r>
      <w:r w:rsidR="00032332">
        <w:rPr>
          <w:rFonts w:eastAsia="Times New Roman" w:cs="Times New Roman"/>
          <w:sz w:val="24"/>
          <w:szCs w:val="24"/>
          <w:lang w:eastAsia="en-US"/>
        </w:rPr>
        <w:t xml:space="preserve">humanitarian </w:t>
      </w:r>
      <w:r w:rsidR="00580B88" w:rsidRPr="001266D1">
        <w:rPr>
          <w:rFonts w:eastAsia="Times New Roman" w:cs="Times New Roman"/>
          <w:sz w:val="24"/>
          <w:szCs w:val="24"/>
          <w:lang w:eastAsia="en-US"/>
        </w:rPr>
        <w:t xml:space="preserve">operation in Bangladesh. The Government also allowed both national </w:t>
      </w:r>
      <w:r w:rsidR="00E80023" w:rsidRPr="001266D1">
        <w:rPr>
          <w:rFonts w:eastAsia="Times New Roman" w:cs="Times New Roman"/>
          <w:sz w:val="24"/>
          <w:szCs w:val="24"/>
          <w:lang w:eastAsia="en-US"/>
        </w:rPr>
        <w:t xml:space="preserve">NGOs </w:t>
      </w:r>
      <w:r w:rsidR="00580B88" w:rsidRPr="001266D1">
        <w:rPr>
          <w:rFonts w:eastAsia="Times New Roman" w:cs="Times New Roman"/>
          <w:sz w:val="24"/>
          <w:szCs w:val="24"/>
          <w:lang w:eastAsia="en-US"/>
        </w:rPr>
        <w:t>and international</w:t>
      </w:r>
      <w:r w:rsidR="00E80023">
        <w:rPr>
          <w:rFonts w:eastAsia="Times New Roman" w:cs="Times New Roman"/>
          <w:sz w:val="24"/>
          <w:szCs w:val="24"/>
          <w:lang w:eastAsia="en-US"/>
        </w:rPr>
        <w:t xml:space="preserve"> agencies to assist </w:t>
      </w:r>
      <w:r w:rsidR="00580B88" w:rsidRPr="001266D1">
        <w:rPr>
          <w:rFonts w:eastAsia="Times New Roman" w:cs="Times New Roman"/>
          <w:sz w:val="24"/>
          <w:szCs w:val="24"/>
          <w:lang w:eastAsia="en-US"/>
        </w:rPr>
        <w:t>the refugee</w:t>
      </w:r>
      <w:r w:rsidR="00E80023">
        <w:rPr>
          <w:rFonts w:eastAsia="Times New Roman" w:cs="Times New Roman"/>
          <w:sz w:val="24"/>
          <w:szCs w:val="24"/>
          <w:lang w:eastAsia="en-US"/>
        </w:rPr>
        <w:t>s</w:t>
      </w:r>
      <w:r w:rsidR="00580B88" w:rsidRPr="001266D1">
        <w:rPr>
          <w:rFonts w:eastAsia="Times New Roman" w:cs="Times New Roman"/>
          <w:sz w:val="24"/>
          <w:szCs w:val="24"/>
          <w:lang w:eastAsia="en-US"/>
        </w:rPr>
        <w:t xml:space="preserve">. </w:t>
      </w:r>
    </w:p>
    <w:p w14:paraId="1CA37794" w14:textId="14975054" w:rsidR="00580B88" w:rsidRPr="0000419E" w:rsidRDefault="00146D7A" w:rsidP="00580B88">
      <w:pPr>
        <w:spacing w:before="100" w:beforeAutospacing="1" w:after="100" w:afterAutospacing="1" w:line="240" w:lineRule="auto"/>
        <w:rPr>
          <w:rFonts w:eastAsia="Times New Roman" w:cs="Times New Roman"/>
          <w:sz w:val="24"/>
          <w:szCs w:val="24"/>
          <w:lang w:eastAsia="en-US"/>
        </w:rPr>
      </w:pPr>
      <w:r>
        <w:rPr>
          <w:sz w:val="24"/>
          <w:szCs w:val="24"/>
        </w:rPr>
        <w:t xml:space="preserve">The Government of </w:t>
      </w:r>
      <w:r w:rsidR="00580B88" w:rsidRPr="0000419E">
        <w:rPr>
          <w:sz w:val="24"/>
          <w:szCs w:val="24"/>
        </w:rPr>
        <w:t xml:space="preserve">Bangladesh has taken the refugee issue on humanitarian </w:t>
      </w:r>
      <w:r>
        <w:rPr>
          <w:sz w:val="24"/>
          <w:szCs w:val="24"/>
        </w:rPr>
        <w:t>ground</w:t>
      </w:r>
      <w:r w:rsidR="00580B88" w:rsidRPr="0000419E">
        <w:rPr>
          <w:sz w:val="24"/>
          <w:szCs w:val="24"/>
        </w:rPr>
        <w:t xml:space="preserve">. </w:t>
      </w:r>
      <w:r>
        <w:rPr>
          <w:sz w:val="24"/>
          <w:szCs w:val="24"/>
        </w:rPr>
        <w:t xml:space="preserve">Civil society organizations, NGOs, political leaders, policy makers, </w:t>
      </w:r>
      <w:r w:rsidR="00932410">
        <w:rPr>
          <w:sz w:val="24"/>
          <w:szCs w:val="24"/>
        </w:rPr>
        <w:t>and media</w:t>
      </w:r>
      <w:r>
        <w:rPr>
          <w:sz w:val="24"/>
          <w:szCs w:val="24"/>
        </w:rPr>
        <w:t xml:space="preserve"> personnel have raised the issue of refugee protection and the need for a </w:t>
      </w:r>
      <w:r w:rsidR="00580B88" w:rsidRPr="0000419E">
        <w:rPr>
          <w:sz w:val="24"/>
          <w:szCs w:val="24"/>
        </w:rPr>
        <w:t>comprehensive legal or institutional structure to protect and promote the basic rights of refugees in Bangladesh</w:t>
      </w:r>
      <w:r>
        <w:rPr>
          <w:sz w:val="24"/>
          <w:szCs w:val="24"/>
        </w:rPr>
        <w:t>. Therefore,</w:t>
      </w:r>
      <w:r w:rsidR="00580B88" w:rsidRPr="0000419E">
        <w:rPr>
          <w:sz w:val="24"/>
          <w:szCs w:val="24"/>
        </w:rPr>
        <w:t xml:space="preserve"> Bangladesh should urgently need to formulate a national legal framework on refugee to develop an adequate and effective protection mechanism to deal with </w:t>
      </w:r>
      <w:r>
        <w:rPr>
          <w:sz w:val="24"/>
          <w:szCs w:val="24"/>
        </w:rPr>
        <w:t xml:space="preserve">complex </w:t>
      </w:r>
      <w:r w:rsidR="00580B88" w:rsidRPr="0000419E">
        <w:rPr>
          <w:sz w:val="24"/>
          <w:szCs w:val="24"/>
        </w:rPr>
        <w:t xml:space="preserve">refugee </w:t>
      </w:r>
      <w:r>
        <w:rPr>
          <w:sz w:val="24"/>
          <w:szCs w:val="24"/>
        </w:rPr>
        <w:t>crisis at ease</w:t>
      </w:r>
      <w:r w:rsidR="00580B88" w:rsidRPr="0000419E">
        <w:rPr>
          <w:sz w:val="24"/>
          <w:szCs w:val="24"/>
        </w:rPr>
        <w:t xml:space="preserve">. </w:t>
      </w:r>
      <w:r w:rsidR="00D528DF">
        <w:rPr>
          <w:sz w:val="24"/>
          <w:szCs w:val="24"/>
        </w:rPr>
        <w:t>In this connection, th</w:t>
      </w:r>
      <w:r w:rsidR="00580B88" w:rsidRPr="0000419E">
        <w:rPr>
          <w:rFonts w:eastAsia="Times New Roman" w:cs="Times New Roman"/>
          <w:sz w:val="24"/>
          <w:szCs w:val="24"/>
          <w:lang w:eastAsia="en-US"/>
        </w:rPr>
        <w:t xml:space="preserve">e signing of the 1951 UN Convention Relating to the Status of Refugees </w:t>
      </w:r>
      <w:r w:rsidR="00D528DF">
        <w:rPr>
          <w:rFonts w:eastAsia="Times New Roman" w:cs="Times New Roman"/>
          <w:sz w:val="24"/>
          <w:szCs w:val="24"/>
          <w:lang w:eastAsia="en-US"/>
        </w:rPr>
        <w:t xml:space="preserve">and its 1967 Protocol </w:t>
      </w:r>
      <w:r w:rsidR="00580B88" w:rsidRPr="0000419E">
        <w:rPr>
          <w:rFonts w:eastAsia="Times New Roman" w:cs="Times New Roman"/>
          <w:sz w:val="24"/>
          <w:szCs w:val="24"/>
          <w:lang w:eastAsia="en-US"/>
        </w:rPr>
        <w:t xml:space="preserve">by Bangladesh will surely provide a legal framework and certain rights to the refugees in the </w:t>
      </w:r>
      <w:r w:rsidR="00D528DF">
        <w:rPr>
          <w:rFonts w:eastAsia="Times New Roman" w:cs="Times New Roman"/>
          <w:sz w:val="24"/>
          <w:szCs w:val="24"/>
          <w:lang w:eastAsia="en-US"/>
        </w:rPr>
        <w:t>country</w:t>
      </w:r>
      <w:r w:rsidR="00580B88" w:rsidRPr="0000419E">
        <w:rPr>
          <w:rFonts w:eastAsia="Times New Roman" w:cs="Times New Roman"/>
          <w:sz w:val="24"/>
          <w:szCs w:val="24"/>
          <w:lang w:eastAsia="en-US"/>
        </w:rPr>
        <w:t xml:space="preserve">. However, </w:t>
      </w:r>
      <w:r w:rsidR="00D528DF">
        <w:rPr>
          <w:rFonts w:eastAsia="Times New Roman" w:cs="Times New Roman"/>
          <w:sz w:val="24"/>
          <w:szCs w:val="24"/>
          <w:lang w:eastAsia="en-US"/>
        </w:rPr>
        <w:t xml:space="preserve">going beyond the box, </w:t>
      </w:r>
      <w:r w:rsidR="00580B88" w:rsidRPr="0000419E">
        <w:rPr>
          <w:rFonts w:eastAsia="Times New Roman" w:cs="Times New Roman"/>
          <w:sz w:val="24"/>
          <w:szCs w:val="24"/>
          <w:lang w:eastAsia="en-US"/>
        </w:rPr>
        <w:t>the administration at various level</w:t>
      </w:r>
      <w:r w:rsidR="00623383">
        <w:rPr>
          <w:rFonts w:eastAsia="Times New Roman" w:cs="Times New Roman"/>
          <w:sz w:val="24"/>
          <w:szCs w:val="24"/>
          <w:lang w:eastAsia="en-US"/>
        </w:rPr>
        <w:t>s</w:t>
      </w:r>
      <w:r w:rsidR="00580B88" w:rsidRPr="0000419E">
        <w:rPr>
          <w:rFonts w:eastAsia="Times New Roman" w:cs="Times New Roman"/>
          <w:sz w:val="24"/>
          <w:szCs w:val="24"/>
          <w:lang w:eastAsia="en-US"/>
        </w:rPr>
        <w:t xml:space="preserve"> </w:t>
      </w:r>
      <w:r w:rsidR="00D528DF">
        <w:rPr>
          <w:rFonts w:eastAsia="Times New Roman" w:cs="Times New Roman"/>
          <w:sz w:val="24"/>
          <w:szCs w:val="24"/>
          <w:lang w:eastAsia="en-US"/>
        </w:rPr>
        <w:t>must</w:t>
      </w:r>
      <w:r w:rsidR="00580B88" w:rsidRPr="0000419E">
        <w:rPr>
          <w:rFonts w:eastAsia="Times New Roman" w:cs="Times New Roman"/>
          <w:sz w:val="24"/>
          <w:szCs w:val="24"/>
          <w:lang w:eastAsia="en-US"/>
        </w:rPr>
        <w:t xml:space="preserve"> have the ‘will’ to help one of the most disadvantaged groups in the world.</w:t>
      </w:r>
      <w:r w:rsidR="000439D1">
        <w:rPr>
          <w:rFonts w:eastAsia="Times New Roman" w:cs="Times New Roman"/>
          <w:sz w:val="24"/>
          <w:szCs w:val="24"/>
          <w:lang w:eastAsia="en-US"/>
        </w:rPr>
        <w:t xml:space="preserve"> (DU &amp; International Journal</w:t>
      </w:r>
      <w:r w:rsidR="004C34D9">
        <w:rPr>
          <w:rFonts w:eastAsia="Times New Roman" w:cs="Times New Roman"/>
          <w:sz w:val="24"/>
          <w:szCs w:val="24"/>
          <w:lang w:eastAsia="en-US"/>
        </w:rPr>
        <w:t>s</w:t>
      </w:r>
      <w:r w:rsidR="000439D1">
        <w:rPr>
          <w:rFonts w:eastAsia="Times New Roman" w:cs="Times New Roman"/>
          <w:sz w:val="24"/>
          <w:szCs w:val="24"/>
          <w:lang w:eastAsia="en-US"/>
        </w:rPr>
        <w:t>)</w:t>
      </w:r>
    </w:p>
    <w:p w14:paraId="29ECCC46" w14:textId="06263AF3" w:rsidR="00674683" w:rsidRPr="00937EF7" w:rsidRDefault="00674683" w:rsidP="0000419E">
      <w:pPr>
        <w:pStyle w:val="Heading1"/>
        <w:spacing w:line="240" w:lineRule="auto"/>
        <w:ind w:left="357" w:hanging="357"/>
      </w:pPr>
      <w:r w:rsidRPr="00937EF7">
        <w:t>Remittances</w:t>
      </w:r>
    </w:p>
    <w:p w14:paraId="4E4239E4" w14:textId="2DDFB9E0" w:rsidR="00075125" w:rsidRDefault="00E36149" w:rsidP="00E36149">
      <w:pPr>
        <w:spacing w:line="240" w:lineRule="auto"/>
        <w:rPr>
          <w:rFonts w:cs="Times New Roman"/>
          <w:sz w:val="24"/>
          <w:szCs w:val="24"/>
        </w:rPr>
      </w:pPr>
      <w:r>
        <w:rPr>
          <w:rFonts w:cs="Times New Roman"/>
          <w:sz w:val="24"/>
          <w:szCs w:val="24"/>
        </w:rPr>
        <w:t>Remittance</w:t>
      </w:r>
      <w:r w:rsidRPr="00E36149">
        <w:rPr>
          <w:rFonts w:cs="Times New Roman"/>
          <w:sz w:val="24"/>
          <w:szCs w:val="24"/>
        </w:rPr>
        <w:t xml:space="preserve"> has become a stepping stone in the shaping of spiraling growth of the economy of Bangladesh.</w:t>
      </w:r>
      <w:r>
        <w:rPr>
          <w:rFonts w:cs="Times New Roman"/>
          <w:sz w:val="24"/>
          <w:szCs w:val="24"/>
        </w:rPr>
        <w:t xml:space="preserve"> </w:t>
      </w:r>
      <w:r w:rsidRPr="00E36149">
        <w:rPr>
          <w:rFonts w:cs="Times New Roman"/>
          <w:sz w:val="24"/>
          <w:szCs w:val="24"/>
        </w:rPr>
        <w:t>The national economy and migrants’ families are highly dependent on the regular financial transfers by migrants, and they are thus vulnerable to ruptures of the money flows. Ninety percent of the money that is being sent to Bangladesh by its migrants and the diaspora comes from ten countries</w:t>
      </w:r>
      <w:r w:rsidR="00911F5E">
        <w:rPr>
          <w:rFonts w:cs="Times New Roman"/>
          <w:sz w:val="24"/>
          <w:szCs w:val="24"/>
        </w:rPr>
        <w:t xml:space="preserve"> Saudi Arabia, </w:t>
      </w:r>
      <w:r w:rsidR="00911F5E" w:rsidRPr="00911F5E">
        <w:rPr>
          <w:rFonts w:cs="Times New Roman"/>
          <w:sz w:val="24"/>
          <w:szCs w:val="24"/>
        </w:rPr>
        <w:t xml:space="preserve">UAE, the US, Kuwait, the UK, </w:t>
      </w:r>
      <w:r w:rsidR="00911F5E">
        <w:rPr>
          <w:rFonts w:cs="Times New Roman"/>
          <w:sz w:val="24"/>
          <w:szCs w:val="24"/>
        </w:rPr>
        <w:t xml:space="preserve">Qatar, Italy, </w:t>
      </w:r>
      <w:r w:rsidR="00911F5E" w:rsidRPr="00911F5E">
        <w:rPr>
          <w:rFonts w:cs="Times New Roman"/>
          <w:sz w:val="24"/>
          <w:szCs w:val="24"/>
        </w:rPr>
        <w:t>Malaysia</w:t>
      </w:r>
      <w:r w:rsidR="00911F5E">
        <w:rPr>
          <w:rFonts w:cs="Times New Roman"/>
          <w:sz w:val="24"/>
          <w:szCs w:val="24"/>
        </w:rPr>
        <w:t>,</w:t>
      </w:r>
      <w:r w:rsidR="00911F5E" w:rsidRPr="00911F5E">
        <w:rPr>
          <w:rFonts w:cs="Times New Roman"/>
          <w:sz w:val="24"/>
          <w:szCs w:val="24"/>
        </w:rPr>
        <w:t xml:space="preserve"> Oman </w:t>
      </w:r>
      <w:r w:rsidR="00911F5E">
        <w:rPr>
          <w:rFonts w:cs="Times New Roman"/>
          <w:sz w:val="24"/>
          <w:szCs w:val="24"/>
        </w:rPr>
        <w:t>and Bahrain, 5</w:t>
      </w:r>
      <w:r w:rsidRPr="00E36149">
        <w:rPr>
          <w:rFonts w:cs="Times New Roman"/>
          <w:sz w:val="24"/>
          <w:szCs w:val="24"/>
        </w:rPr>
        <w:t>8 percent from the Gulf States alone.</w:t>
      </w:r>
      <w:r>
        <w:rPr>
          <w:rFonts w:cs="Times New Roman"/>
          <w:sz w:val="24"/>
          <w:szCs w:val="24"/>
        </w:rPr>
        <w:t xml:space="preserve"> (BMET)</w:t>
      </w:r>
    </w:p>
    <w:p w14:paraId="6E506E82" w14:textId="77777777" w:rsidR="00EC1F47" w:rsidRDefault="00EC1F47" w:rsidP="00EC1F47">
      <w:pPr>
        <w:spacing w:line="240" w:lineRule="auto"/>
        <w:rPr>
          <w:rFonts w:cs="Times New Roman"/>
          <w:sz w:val="24"/>
          <w:szCs w:val="24"/>
        </w:rPr>
      </w:pPr>
    </w:p>
    <w:p w14:paraId="05526123" w14:textId="436D17BA" w:rsidR="00EC1F47" w:rsidRDefault="00EC1F47" w:rsidP="00EC1F47">
      <w:pPr>
        <w:spacing w:line="240" w:lineRule="auto"/>
        <w:rPr>
          <w:rFonts w:cs="Times New Roman"/>
          <w:sz w:val="24"/>
          <w:szCs w:val="24"/>
        </w:rPr>
      </w:pPr>
      <w:r w:rsidRPr="00EC1F47">
        <w:rPr>
          <w:rFonts w:cs="Times New Roman"/>
          <w:sz w:val="24"/>
          <w:szCs w:val="24"/>
        </w:rPr>
        <w:t>Bangladesh reached a new record in remittance, despite the global financial turmoil caused by the Covid-19 pandemic.</w:t>
      </w:r>
      <w:r>
        <w:rPr>
          <w:rFonts w:cs="Times New Roman"/>
          <w:sz w:val="24"/>
          <w:szCs w:val="24"/>
        </w:rPr>
        <w:t xml:space="preserve"> </w:t>
      </w:r>
      <w:r w:rsidRPr="00EC1F47">
        <w:rPr>
          <w:rFonts w:cs="Times New Roman"/>
          <w:sz w:val="24"/>
          <w:szCs w:val="24"/>
        </w:rPr>
        <w:t>The country received remittance worth $18.21 billion in the fiscal year 2019-20, which is 9.6% higher than the previous year, according to official figures. In fiscal year 2018-2019, the country had received $16.4 billion and $14.98 billion in 2017-2018.</w:t>
      </w:r>
      <w:r w:rsidR="00A86F1A">
        <w:rPr>
          <w:rFonts w:cs="Times New Roman"/>
          <w:sz w:val="24"/>
          <w:szCs w:val="24"/>
        </w:rPr>
        <w:t xml:space="preserve"> (BMET)</w:t>
      </w:r>
    </w:p>
    <w:p w14:paraId="231E364B" w14:textId="77777777" w:rsidR="00E36149" w:rsidRDefault="00E36149" w:rsidP="0000419E">
      <w:pPr>
        <w:spacing w:line="240" w:lineRule="auto"/>
        <w:rPr>
          <w:rFonts w:cs="Times New Roman"/>
          <w:sz w:val="24"/>
          <w:szCs w:val="24"/>
        </w:rPr>
      </w:pPr>
    </w:p>
    <w:p w14:paraId="052C8A8A" w14:textId="261BDBAF" w:rsidR="00415209" w:rsidRPr="00937EF7" w:rsidRDefault="00415209" w:rsidP="0000419E">
      <w:pPr>
        <w:spacing w:line="240" w:lineRule="auto"/>
        <w:rPr>
          <w:rFonts w:cs="Times New Roman"/>
          <w:sz w:val="24"/>
          <w:szCs w:val="24"/>
        </w:rPr>
      </w:pPr>
      <w:r w:rsidRPr="00937EF7">
        <w:rPr>
          <w:rFonts w:cs="Times New Roman"/>
          <w:sz w:val="24"/>
          <w:szCs w:val="24"/>
        </w:rPr>
        <w:t>The data of the following figure</w:t>
      </w:r>
      <w:r w:rsidR="00075125">
        <w:rPr>
          <w:rFonts w:cs="Times New Roman"/>
          <w:sz w:val="24"/>
          <w:szCs w:val="24"/>
        </w:rPr>
        <w:t xml:space="preserve"> 11</w:t>
      </w:r>
      <w:r w:rsidRPr="00937EF7">
        <w:rPr>
          <w:rFonts w:cs="Times New Roman"/>
          <w:sz w:val="24"/>
          <w:szCs w:val="24"/>
        </w:rPr>
        <w:t xml:space="preserve"> show a steady growth of remittances coming into Bangladesh from 1990 to 2022. Remittances reached the landmark of 15,000 million USD in 2014 and 2015 </w:t>
      </w:r>
      <w:r w:rsidR="00372F85" w:rsidRPr="00937EF7">
        <w:rPr>
          <w:rFonts w:cs="Times New Roman"/>
          <w:sz w:val="24"/>
          <w:szCs w:val="24"/>
        </w:rPr>
        <w:t>followed</w:t>
      </w:r>
      <w:r w:rsidRPr="00937EF7">
        <w:rPr>
          <w:rFonts w:cs="Times New Roman"/>
          <w:sz w:val="24"/>
          <w:szCs w:val="24"/>
        </w:rPr>
        <w:t xml:space="preserve"> by a </w:t>
      </w:r>
      <w:r w:rsidR="00372F85" w:rsidRPr="00937EF7">
        <w:rPr>
          <w:rFonts w:cs="Times New Roman"/>
          <w:sz w:val="24"/>
          <w:szCs w:val="24"/>
        </w:rPr>
        <w:t xml:space="preserve">small </w:t>
      </w:r>
      <w:r w:rsidRPr="00937EF7">
        <w:rPr>
          <w:rFonts w:cs="Times New Roman"/>
          <w:sz w:val="24"/>
          <w:szCs w:val="24"/>
        </w:rPr>
        <w:t>two-year decline in 2016 and 2017, then the growth gained ground and reached its peak in 2021</w:t>
      </w:r>
      <w:r w:rsidR="00732F57" w:rsidRPr="00937EF7">
        <w:rPr>
          <w:rFonts w:cs="Times New Roman"/>
          <w:sz w:val="24"/>
          <w:szCs w:val="24"/>
        </w:rPr>
        <w:t xml:space="preserve">. </w:t>
      </w:r>
    </w:p>
    <w:p w14:paraId="1B654D14" w14:textId="6382A5B4" w:rsidR="0001683E" w:rsidRPr="00937EF7" w:rsidRDefault="00D33FF9" w:rsidP="0000419E">
      <w:pPr>
        <w:spacing w:line="240" w:lineRule="auto"/>
        <w:rPr>
          <w:b/>
          <w:sz w:val="26"/>
        </w:rPr>
      </w:pPr>
      <w:r w:rsidRPr="00937EF7">
        <w:rPr>
          <w:b/>
          <w:sz w:val="26"/>
        </w:rPr>
        <w:lastRenderedPageBreak/>
        <w:t>Figure-</w:t>
      </w:r>
      <w:r w:rsidR="00075125">
        <w:rPr>
          <w:b/>
          <w:sz w:val="26"/>
        </w:rPr>
        <w:t>11</w:t>
      </w:r>
      <w:r w:rsidRPr="00937EF7">
        <w:rPr>
          <w:b/>
          <w:sz w:val="26"/>
        </w:rPr>
        <w:t xml:space="preserve"> </w:t>
      </w:r>
      <w:r w:rsidR="002E0B5E" w:rsidRPr="00937EF7">
        <w:rPr>
          <w:b/>
          <w:sz w:val="26"/>
        </w:rPr>
        <w:t>Remittance</w:t>
      </w:r>
      <w:r w:rsidR="00E73791" w:rsidRPr="00937EF7">
        <w:rPr>
          <w:b/>
          <w:sz w:val="26"/>
        </w:rPr>
        <w:t xml:space="preserve"> inflows in Bangladesh (USD million</w:t>
      </w:r>
      <w:r w:rsidR="00C1333B" w:rsidRPr="00937EF7">
        <w:rPr>
          <w:b/>
          <w:sz w:val="26"/>
        </w:rPr>
        <w:t>s</w:t>
      </w:r>
      <w:r w:rsidR="00E73791" w:rsidRPr="00937EF7">
        <w:rPr>
          <w:b/>
          <w:sz w:val="26"/>
        </w:rPr>
        <w:t>)</w:t>
      </w:r>
    </w:p>
    <w:p w14:paraId="72BD1CB2" w14:textId="031B3966" w:rsidR="00E73791" w:rsidRPr="00937EF7" w:rsidRDefault="00E73791" w:rsidP="0000419E">
      <w:pPr>
        <w:spacing w:line="240" w:lineRule="auto"/>
      </w:pPr>
      <w:r w:rsidRPr="00937EF7">
        <w:rPr>
          <w:noProof/>
          <w:lang w:eastAsia="en-US"/>
        </w:rPr>
        <w:drawing>
          <wp:inline distT="0" distB="0" distL="0" distR="0" wp14:anchorId="4675B594" wp14:editId="3582D5A4">
            <wp:extent cx="5563772" cy="2743200"/>
            <wp:effectExtent l="0" t="0" r="18415"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4AB5781" w14:textId="77777777" w:rsidR="00C1333B" w:rsidRPr="00937EF7" w:rsidRDefault="00C1333B" w:rsidP="0000419E">
      <w:pPr>
        <w:pStyle w:val="Heading1"/>
        <w:numPr>
          <w:ilvl w:val="0"/>
          <w:numId w:val="0"/>
        </w:numPr>
        <w:spacing w:line="240" w:lineRule="auto"/>
        <w:ind w:left="66"/>
        <w:rPr>
          <w:rFonts w:cs="Times New Roman"/>
          <w:b w:val="0"/>
          <w:sz w:val="22"/>
          <w:szCs w:val="22"/>
        </w:rPr>
      </w:pPr>
      <w:r w:rsidRPr="00937EF7">
        <w:rPr>
          <w:rFonts w:cs="Times New Roman"/>
          <w:b w:val="0"/>
          <w:caps w:val="0"/>
          <w:sz w:val="22"/>
          <w:szCs w:val="22"/>
        </w:rPr>
        <w:t>Source: https://www.knomad.org/data/remittances</w:t>
      </w:r>
    </w:p>
    <w:p w14:paraId="6BA0C5C0" w14:textId="77777777" w:rsidR="00E73791" w:rsidRPr="00937EF7" w:rsidRDefault="00E73791" w:rsidP="0000419E">
      <w:pPr>
        <w:spacing w:line="240" w:lineRule="auto"/>
      </w:pPr>
    </w:p>
    <w:p w14:paraId="25F97658" w14:textId="15C794A1" w:rsidR="00DC291B" w:rsidRPr="00937EF7" w:rsidRDefault="00DC291B" w:rsidP="0000419E">
      <w:pPr>
        <w:spacing w:line="240" w:lineRule="auto"/>
        <w:rPr>
          <w:rFonts w:cs="Times New Roman"/>
          <w:sz w:val="24"/>
          <w:szCs w:val="24"/>
        </w:rPr>
      </w:pPr>
      <w:r w:rsidRPr="00937EF7">
        <w:rPr>
          <w:rFonts w:cs="Times New Roman"/>
          <w:sz w:val="24"/>
          <w:szCs w:val="24"/>
        </w:rPr>
        <w:t>The figure</w:t>
      </w:r>
      <w:r w:rsidR="00075125">
        <w:rPr>
          <w:rFonts w:cs="Times New Roman"/>
          <w:sz w:val="24"/>
          <w:szCs w:val="24"/>
        </w:rPr>
        <w:t xml:space="preserve"> 12</w:t>
      </w:r>
      <w:r w:rsidRPr="00937EF7">
        <w:rPr>
          <w:rFonts w:cs="Times New Roman"/>
          <w:sz w:val="24"/>
          <w:szCs w:val="24"/>
        </w:rPr>
        <w:t xml:space="preserve"> below shows remittance outflows from Bangladesh. There is no data available from 1990 to 1996. Since 1997, there were ups and downs of the outflows until 2016 but from then on the</w:t>
      </w:r>
      <w:r w:rsidR="00885D78" w:rsidRPr="00937EF7">
        <w:rPr>
          <w:rFonts w:cs="Times New Roman"/>
          <w:sz w:val="24"/>
          <w:szCs w:val="24"/>
        </w:rPr>
        <w:t>re was</w:t>
      </w:r>
      <w:r w:rsidRPr="00937EF7">
        <w:rPr>
          <w:rFonts w:cs="Times New Roman"/>
          <w:sz w:val="24"/>
          <w:szCs w:val="24"/>
        </w:rPr>
        <w:t xml:space="preserve"> a steady growth culminating in 2021.  </w:t>
      </w:r>
    </w:p>
    <w:p w14:paraId="7BC85968" w14:textId="4EF53838" w:rsidR="00E73791" w:rsidRPr="00937EF7" w:rsidRDefault="00D33FF9" w:rsidP="0000419E">
      <w:pPr>
        <w:spacing w:line="240" w:lineRule="auto"/>
        <w:rPr>
          <w:b/>
        </w:rPr>
      </w:pPr>
      <w:r w:rsidRPr="00937EF7">
        <w:rPr>
          <w:b/>
          <w:sz w:val="26"/>
        </w:rPr>
        <w:t>Figure-</w:t>
      </w:r>
      <w:r w:rsidR="00075125">
        <w:rPr>
          <w:b/>
          <w:sz w:val="26"/>
        </w:rPr>
        <w:t>12:</w:t>
      </w:r>
      <w:r w:rsidRPr="00937EF7">
        <w:rPr>
          <w:b/>
          <w:sz w:val="26"/>
        </w:rPr>
        <w:t xml:space="preserve"> </w:t>
      </w:r>
      <w:r w:rsidR="002E0B5E" w:rsidRPr="00937EF7">
        <w:rPr>
          <w:b/>
          <w:sz w:val="26"/>
        </w:rPr>
        <w:t>Remittance</w:t>
      </w:r>
      <w:r w:rsidR="00E73791" w:rsidRPr="00937EF7">
        <w:rPr>
          <w:b/>
          <w:sz w:val="26"/>
        </w:rPr>
        <w:t xml:space="preserve"> outflows from Bangladesh (USD million</w:t>
      </w:r>
      <w:r w:rsidR="00C1333B" w:rsidRPr="00937EF7">
        <w:rPr>
          <w:b/>
          <w:sz w:val="26"/>
        </w:rPr>
        <w:t>s</w:t>
      </w:r>
      <w:r w:rsidR="00E73791" w:rsidRPr="00937EF7">
        <w:rPr>
          <w:b/>
          <w:sz w:val="26"/>
        </w:rPr>
        <w:t>)</w:t>
      </w:r>
    </w:p>
    <w:p w14:paraId="11CF5682" w14:textId="1169C451" w:rsidR="00E73791" w:rsidRPr="00937EF7" w:rsidRDefault="00075A6F" w:rsidP="0000419E">
      <w:pPr>
        <w:spacing w:line="240" w:lineRule="auto"/>
      </w:pPr>
      <w:r w:rsidRPr="00937EF7">
        <w:rPr>
          <w:noProof/>
          <w:lang w:eastAsia="en-US"/>
        </w:rPr>
        <w:drawing>
          <wp:inline distT="0" distB="0" distL="0" distR="0" wp14:anchorId="219D0B21" wp14:editId="52AB80DA">
            <wp:extent cx="5521569" cy="2743200"/>
            <wp:effectExtent l="0" t="0" r="22225"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522497" w14:textId="40C47F93" w:rsidR="00C1333B" w:rsidRPr="00937EF7" w:rsidRDefault="00C1333B" w:rsidP="0000419E">
      <w:pPr>
        <w:pStyle w:val="Heading1"/>
        <w:numPr>
          <w:ilvl w:val="0"/>
          <w:numId w:val="0"/>
        </w:numPr>
        <w:spacing w:line="240" w:lineRule="auto"/>
        <w:ind w:left="66"/>
        <w:rPr>
          <w:b w:val="0"/>
          <w:caps w:val="0"/>
          <w:sz w:val="22"/>
          <w:szCs w:val="22"/>
        </w:rPr>
      </w:pPr>
      <w:bookmarkStart w:id="5" w:name="_Toc31277483"/>
      <w:bookmarkStart w:id="6" w:name="_Toc51847928"/>
      <w:r w:rsidRPr="00937EF7">
        <w:rPr>
          <w:b w:val="0"/>
          <w:caps w:val="0"/>
          <w:sz w:val="22"/>
          <w:szCs w:val="22"/>
        </w:rPr>
        <w:t xml:space="preserve">Source: </w:t>
      </w:r>
      <w:r w:rsidR="00BF1F7E" w:rsidRPr="00937EF7">
        <w:rPr>
          <w:b w:val="0"/>
          <w:caps w:val="0"/>
          <w:sz w:val="22"/>
          <w:szCs w:val="22"/>
        </w:rPr>
        <w:t>https://www.knomad.org/data/remittances</w:t>
      </w:r>
    </w:p>
    <w:p w14:paraId="3FEC3EBF" w14:textId="026B102E" w:rsidR="00EC3241" w:rsidRPr="00937EF7" w:rsidRDefault="00C44DF6" w:rsidP="0000419E">
      <w:pPr>
        <w:pStyle w:val="Heading1"/>
        <w:numPr>
          <w:ilvl w:val="0"/>
          <w:numId w:val="0"/>
        </w:numPr>
        <w:spacing w:line="240" w:lineRule="auto"/>
        <w:ind w:left="66"/>
        <w:rPr>
          <w:rFonts w:cs="Times New Roman"/>
          <w:b w:val="0"/>
          <w:sz w:val="24"/>
          <w:szCs w:val="24"/>
        </w:rPr>
      </w:pPr>
      <w:r w:rsidRPr="00937EF7">
        <w:rPr>
          <w:rFonts w:cs="Times New Roman"/>
          <w:b w:val="0"/>
          <w:caps w:val="0"/>
          <w:sz w:val="24"/>
          <w:szCs w:val="24"/>
        </w:rPr>
        <w:lastRenderedPageBreak/>
        <w:t>The following figure</w:t>
      </w:r>
      <w:r w:rsidR="00F12069">
        <w:rPr>
          <w:rFonts w:cs="Times New Roman"/>
          <w:b w:val="0"/>
          <w:caps w:val="0"/>
          <w:sz w:val="24"/>
          <w:szCs w:val="24"/>
        </w:rPr>
        <w:t xml:space="preserve"> 13</w:t>
      </w:r>
      <w:r w:rsidRPr="00937EF7">
        <w:rPr>
          <w:rFonts w:cs="Times New Roman"/>
          <w:b w:val="0"/>
          <w:caps w:val="0"/>
          <w:sz w:val="24"/>
          <w:szCs w:val="24"/>
        </w:rPr>
        <w:t xml:space="preserve"> presents national remittance inflows data from Bangladesh Bank and Bureau of Manpower, Employment and Training (BMET). </w:t>
      </w:r>
      <w:r w:rsidR="00FB3EA4" w:rsidRPr="00937EF7">
        <w:rPr>
          <w:rFonts w:cs="Times New Roman"/>
          <w:b w:val="0"/>
          <w:caps w:val="0"/>
          <w:sz w:val="24"/>
          <w:szCs w:val="24"/>
        </w:rPr>
        <w:t xml:space="preserve">BMET preserves these data since its establishment in 1976 till date. </w:t>
      </w:r>
      <w:r w:rsidR="0056685E" w:rsidRPr="00937EF7">
        <w:rPr>
          <w:rFonts w:cs="Times New Roman"/>
          <w:b w:val="0"/>
          <w:caps w:val="0"/>
          <w:sz w:val="24"/>
          <w:szCs w:val="24"/>
        </w:rPr>
        <w:t xml:space="preserve">It is evident that the inflow data presented by both national and international sources are noticeably congruous. </w:t>
      </w:r>
      <w:r w:rsidR="001F5796" w:rsidRPr="00937EF7">
        <w:rPr>
          <w:rFonts w:cs="Times New Roman"/>
          <w:b w:val="0"/>
          <w:caps w:val="0"/>
          <w:sz w:val="24"/>
          <w:szCs w:val="24"/>
        </w:rPr>
        <w:t xml:space="preserve">There is no obvious disparity in between. </w:t>
      </w:r>
    </w:p>
    <w:p w14:paraId="7E527A03" w14:textId="66FF125A" w:rsidR="00C1333B" w:rsidRPr="00937EF7" w:rsidRDefault="00372F85" w:rsidP="0000419E">
      <w:pPr>
        <w:pStyle w:val="Heading1"/>
        <w:numPr>
          <w:ilvl w:val="0"/>
          <w:numId w:val="0"/>
        </w:numPr>
        <w:spacing w:line="240" w:lineRule="auto"/>
        <w:ind w:left="66"/>
      </w:pPr>
      <w:r w:rsidRPr="00937EF7">
        <w:rPr>
          <w:caps w:val="0"/>
        </w:rPr>
        <w:t>Figure-</w:t>
      </w:r>
      <w:r w:rsidR="00075125">
        <w:rPr>
          <w:caps w:val="0"/>
        </w:rPr>
        <w:t xml:space="preserve">13: </w:t>
      </w:r>
      <w:r w:rsidRPr="00937EF7">
        <w:rPr>
          <w:caps w:val="0"/>
        </w:rPr>
        <w:t>Remittance inflows in Bangladesh (National data)</w:t>
      </w:r>
    </w:p>
    <w:p w14:paraId="02C7002F" w14:textId="32B5D4DA" w:rsidR="00F97057" w:rsidRPr="00937EF7" w:rsidRDefault="00C6501D" w:rsidP="0000419E">
      <w:pPr>
        <w:pStyle w:val="Heading1"/>
        <w:numPr>
          <w:ilvl w:val="0"/>
          <w:numId w:val="0"/>
        </w:numPr>
        <w:spacing w:line="240" w:lineRule="auto"/>
        <w:ind w:left="66"/>
      </w:pPr>
      <w:r w:rsidRPr="00937EF7">
        <w:rPr>
          <w:noProof/>
          <w:lang w:eastAsia="en-US"/>
        </w:rPr>
        <w:drawing>
          <wp:inline distT="0" distB="0" distL="0" distR="0" wp14:anchorId="04B37F13" wp14:editId="751EF6BA">
            <wp:extent cx="6302327" cy="3516923"/>
            <wp:effectExtent l="0" t="0" r="381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ittance inflows 1976-2023.jpg"/>
                    <pic:cNvPicPr/>
                  </pic:nvPicPr>
                  <pic:blipFill>
                    <a:blip r:embed="rId35">
                      <a:extLst>
                        <a:ext uri="{28A0092B-C50C-407E-A947-70E740481C1C}">
                          <a14:useLocalDpi xmlns:a14="http://schemas.microsoft.com/office/drawing/2010/main" val="0"/>
                        </a:ext>
                      </a:extLst>
                    </a:blip>
                    <a:stretch>
                      <a:fillRect/>
                    </a:stretch>
                  </pic:blipFill>
                  <pic:spPr>
                    <a:xfrm>
                      <a:off x="0" y="0"/>
                      <a:ext cx="6304078" cy="3517900"/>
                    </a:xfrm>
                    <a:prstGeom prst="rect">
                      <a:avLst/>
                    </a:prstGeom>
                  </pic:spPr>
                </pic:pic>
              </a:graphicData>
            </a:graphic>
          </wp:inline>
        </w:drawing>
      </w:r>
    </w:p>
    <w:p w14:paraId="275EC90B" w14:textId="1A848073" w:rsidR="00F97057" w:rsidRPr="00937EF7" w:rsidRDefault="00F97057" w:rsidP="0000419E">
      <w:pPr>
        <w:pStyle w:val="Heading1"/>
        <w:numPr>
          <w:ilvl w:val="0"/>
          <w:numId w:val="0"/>
        </w:numPr>
        <w:spacing w:line="240" w:lineRule="auto"/>
        <w:ind w:left="66"/>
        <w:rPr>
          <w:rFonts w:cs="Times New Roman"/>
          <w:b w:val="0"/>
          <w:sz w:val="22"/>
          <w:szCs w:val="22"/>
        </w:rPr>
      </w:pPr>
      <w:r w:rsidRPr="00937EF7">
        <w:rPr>
          <w:rFonts w:cs="Times New Roman"/>
          <w:b w:val="0"/>
          <w:caps w:val="0"/>
          <w:sz w:val="22"/>
          <w:szCs w:val="22"/>
        </w:rPr>
        <w:t>Source: http://www.bmet.gov.bd/site/page/1baff8ec-27eb-48e0-9ec6-1751cd5411d8/-</w:t>
      </w:r>
    </w:p>
    <w:p w14:paraId="43786F7F" w14:textId="6370AB79" w:rsidR="0056685E" w:rsidRPr="00937EF7" w:rsidRDefault="0092668A" w:rsidP="0000419E">
      <w:pPr>
        <w:pStyle w:val="Heading1"/>
        <w:numPr>
          <w:ilvl w:val="0"/>
          <w:numId w:val="0"/>
        </w:numPr>
        <w:spacing w:line="240" w:lineRule="auto"/>
        <w:ind w:left="66"/>
        <w:rPr>
          <w:rFonts w:cs="Times New Roman"/>
          <w:b w:val="0"/>
          <w:sz w:val="24"/>
          <w:szCs w:val="24"/>
        </w:rPr>
      </w:pPr>
      <w:r w:rsidRPr="00937EF7">
        <w:rPr>
          <w:rFonts w:cs="Times New Roman"/>
          <w:b w:val="0"/>
          <w:caps w:val="0"/>
          <w:sz w:val="24"/>
          <w:szCs w:val="24"/>
        </w:rPr>
        <w:t xml:space="preserve">But no outward remittance data is found in any national sources. There is a big gap of data on emigrant and immigrant stocks, flows, net migration, irregular migration and outward remittances in the national level. </w:t>
      </w:r>
      <w:r w:rsidR="003C460A" w:rsidRPr="00937EF7">
        <w:rPr>
          <w:rFonts w:cs="Times New Roman"/>
          <w:b w:val="0"/>
          <w:caps w:val="0"/>
          <w:sz w:val="24"/>
          <w:szCs w:val="24"/>
        </w:rPr>
        <w:t xml:space="preserve">Bangladesh Bank and BMET have data on remittance inflows and emigrants respectively. Bangladesh Bureau of Statistics has internal </w:t>
      </w:r>
      <w:proofErr w:type="spellStart"/>
      <w:r w:rsidR="003C460A" w:rsidRPr="00937EF7">
        <w:rPr>
          <w:rFonts w:cs="Times New Roman"/>
          <w:b w:val="0"/>
          <w:caps w:val="0"/>
          <w:sz w:val="24"/>
          <w:szCs w:val="24"/>
        </w:rPr>
        <w:t>labour</w:t>
      </w:r>
      <w:proofErr w:type="spellEnd"/>
      <w:r w:rsidR="003C460A" w:rsidRPr="00937EF7">
        <w:rPr>
          <w:rFonts w:cs="Times New Roman"/>
          <w:b w:val="0"/>
          <w:caps w:val="0"/>
          <w:sz w:val="24"/>
          <w:szCs w:val="24"/>
        </w:rPr>
        <w:t xml:space="preserve"> data but it preserves migration data from BMET. </w:t>
      </w:r>
    </w:p>
    <w:p w14:paraId="01BDD3B9" w14:textId="48D288C9" w:rsidR="000120EE" w:rsidRPr="00937EF7" w:rsidRDefault="000120EE" w:rsidP="0000419E">
      <w:pPr>
        <w:pStyle w:val="Heading1"/>
        <w:numPr>
          <w:ilvl w:val="0"/>
          <w:numId w:val="0"/>
        </w:numPr>
        <w:spacing w:line="240" w:lineRule="auto"/>
        <w:ind w:left="66"/>
        <w:rPr>
          <w:b w:val="0"/>
          <w:sz w:val="22"/>
          <w:szCs w:val="22"/>
        </w:rPr>
      </w:pPr>
      <w:r w:rsidRPr="00937EF7">
        <w:rPr>
          <w:b w:val="0"/>
          <w:caps w:val="0"/>
          <w:sz w:val="22"/>
          <w:szCs w:val="22"/>
        </w:rPr>
        <w:t>Source: http://www.bbs.gov.bd/site/page/111d09ce-718a-4ae6-8188-f7d938ada348/-</w:t>
      </w:r>
    </w:p>
    <w:p w14:paraId="626FE82D" w14:textId="77777777" w:rsidR="00075125" w:rsidRDefault="00075125" w:rsidP="0000419E">
      <w:pPr>
        <w:pStyle w:val="Heading1"/>
        <w:numPr>
          <w:ilvl w:val="0"/>
          <w:numId w:val="0"/>
        </w:numPr>
        <w:spacing w:line="240" w:lineRule="auto"/>
        <w:ind w:left="66"/>
      </w:pPr>
    </w:p>
    <w:p w14:paraId="058503D8" w14:textId="23E2EFCE" w:rsidR="007D0930" w:rsidRDefault="007D0930" w:rsidP="0000419E">
      <w:pPr>
        <w:pStyle w:val="Heading1"/>
        <w:numPr>
          <w:ilvl w:val="0"/>
          <w:numId w:val="0"/>
        </w:numPr>
        <w:spacing w:line="240" w:lineRule="auto"/>
        <w:ind w:left="66"/>
      </w:pPr>
      <w:r w:rsidRPr="00937EF7">
        <w:lastRenderedPageBreak/>
        <w:t>References</w:t>
      </w:r>
      <w:bookmarkEnd w:id="5"/>
      <w:bookmarkEnd w:id="6"/>
    </w:p>
    <w:p w14:paraId="54F71C70" w14:textId="77777777" w:rsidR="003C5A1F" w:rsidRPr="003C5A1F" w:rsidRDefault="003C5A1F" w:rsidP="0000419E">
      <w:pPr>
        <w:pStyle w:val="Heading1"/>
        <w:numPr>
          <w:ilvl w:val="0"/>
          <w:numId w:val="0"/>
        </w:numPr>
        <w:spacing w:line="240" w:lineRule="auto"/>
        <w:ind w:left="66"/>
        <w:rPr>
          <w:sz w:val="10"/>
        </w:rPr>
      </w:pPr>
    </w:p>
    <w:p w14:paraId="24199049" w14:textId="4F655DBE" w:rsidR="004E197B" w:rsidRPr="00937EF7" w:rsidRDefault="004E197B" w:rsidP="0000419E">
      <w:pPr>
        <w:spacing w:line="240" w:lineRule="auto"/>
        <w:rPr>
          <w:rFonts w:cs="Times New Roman"/>
        </w:rPr>
      </w:pPr>
      <w:bookmarkStart w:id="7" w:name="_Toc31277484"/>
      <w:bookmarkEnd w:id="7"/>
      <w:r w:rsidRPr="00937EF7">
        <w:rPr>
          <w:rFonts w:cs="Times New Roman"/>
        </w:rPr>
        <w:t xml:space="preserve">1. </w:t>
      </w:r>
      <w:hyperlink r:id="rId36" w:history="1">
        <w:r w:rsidRPr="00937EF7">
          <w:rPr>
            <w:rStyle w:val="Hyperlink"/>
            <w:rFonts w:cs="Times New Roman"/>
            <w:color w:val="auto"/>
            <w:u w:val="none"/>
          </w:rPr>
          <w:t>https://www.britannica.com/topic/flag-of-Bangladesh</w:t>
        </w:r>
      </w:hyperlink>
    </w:p>
    <w:p w14:paraId="03C1102C" w14:textId="13B7F6F3" w:rsidR="004E197B" w:rsidRPr="00937EF7" w:rsidRDefault="004E197B" w:rsidP="0000419E">
      <w:pPr>
        <w:spacing w:line="240" w:lineRule="auto"/>
        <w:rPr>
          <w:rFonts w:cs="Times New Roman"/>
        </w:rPr>
      </w:pPr>
      <w:r w:rsidRPr="00937EF7">
        <w:rPr>
          <w:rFonts w:cs="Times New Roman"/>
        </w:rPr>
        <w:t xml:space="preserve">2. </w:t>
      </w:r>
      <w:hyperlink r:id="rId37" w:history="1">
        <w:r w:rsidRPr="00937EF7">
          <w:rPr>
            <w:rStyle w:val="Hyperlink"/>
            <w:rFonts w:cs="Times New Roman"/>
            <w:color w:val="auto"/>
            <w:u w:val="none"/>
          </w:rPr>
          <w:t>https://en.wikipedia.org/wiki/National_symbols_of_Bangladesh</w:t>
        </w:r>
      </w:hyperlink>
    </w:p>
    <w:p w14:paraId="20961EAF" w14:textId="4C49072C" w:rsidR="004E197B" w:rsidRPr="00937EF7" w:rsidRDefault="004E197B" w:rsidP="0000419E">
      <w:pPr>
        <w:spacing w:line="240" w:lineRule="auto"/>
        <w:rPr>
          <w:rFonts w:cs="Times New Roman"/>
        </w:rPr>
      </w:pPr>
      <w:r w:rsidRPr="00937EF7">
        <w:rPr>
          <w:rFonts w:cs="Times New Roman"/>
        </w:rPr>
        <w:t>3. httpswww.un.orggeospatialcontentbangladesh-0</w:t>
      </w:r>
    </w:p>
    <w:p w14:paraId="3A23E9FB" w14:textId="28A50A63" w:rsidR="004E197B" w:rsidRPr="00937EF7" w:rsidRDefault="004E197B" w:rsidP="0000419E">
      <w:pPr>
        <w:spacing w:line="240" w:lineRule="auto"/>
        <w:rPr>
          <w:rFonts w:cs="Times New Roman"/>
        </w:rPr>
      </w:pPr>
      <w:r w:rsidRPr="00937EF7">
        <w:rPr>
          <w:rFonts w:cs="Times New Roman"/>
        </w:rPr>
        <w:t>4. https://en.wikipedia.org/wiki</w:t>
      </w:r>
    </w:p>
    <w:p w14:paraId="0ED403D3" w14:textId="5E8C44EA" w:rsidR="004E197B" w:rsidRPr="00937EF7" w:rsidRDefault="004E197B" w:rsidP="0000419E">
      <w:pPr>
        <w:spacing w:line="240" w:lineRule="auto"/>
        <w:rPr>
          <w:rFonts w:cs="Times New Roman"/>
        </w:rPr>
      </w:pPr>
      <w:r w:rsidRPr="00937EF7">
        <w:rPr>
          <w:rFonts w:cs="Times New Roman"/>
        </w:rPr>
        <w:t>5. https://www.orfonline.org/expert-speak/bangladesh-economy-strong-points-and-red-flags/</w:t>
      </w:r>
    </w:p>
    <w:p w14:paraId="76A36D9F" w14:textId="1069C5B0" w:rsidR="004E197B" w:rsidRPr="00937EF7" w:rsidRDefault="004E197B" w:rsidP="0000419E">
      <w:pPr>
        <w:spacing w:line="240" w:lineRule="auto"/>
        <w:rPr>
          <w:rStyle w:val="Hyperlink"/>
          <w:rFonts w:cs="Times New Roman"/>
          <w:color w:val="auto"/>
          <w:u w:val="none"/>
        </w:rPr>
      </w:pPr>
      <w:r w:rsidRPr="00937EF7">
        <w:rPr>
          <w:rFonts w:cs="Times New Roman"/>
        </w:rPr>
        <w:t xml:space="preserve">6. </w:t>
      </w:r>
      <w:hyperlink r:id="rId38" w:history="1">
        <w:r w:rsidRPr="00937EF7">
          <w:rPr>
            <w:rStyle w:val="Hyperlink"/>
            <w:rFonts w:cs="Times New Roman"/>
            <w:color w:val="auto"/>
            <w:u w:val="none"/>
          </w:rPr>
          <w:t>https://www.un.org/development/desa/pd/content/international-migrant-stock</w:t>
        </w:r>
      </w:hyperlink>
    </w:p>
    <w:p w14:paraId="301A1F2F" w14:textId="5578C62A" w:rsidR="00C115B3" w:rsidRDefault="004E197B" w:rsidP="0000419E">
      <w:pPr>
        <w:spacing w:line="240" w:lineRule="auto"/>
        <w:rPr>
          <w:rStyle w:val="textlayer--absolute"/>
          <w:rFonts w:cs="Times New Roman"/>
        </w:rPr>
      </w:pPr>
      <w:r w:rsidRPr="00937EF7">
        <w:rPr>
          <w:rStyle w:val="textlayer--absolute"/>
          <w:rFonts w:cs="Times New Roman"/>
        </w:rPr>
        <w:t>7.</w:t>
      </w:r>
      <w:r w:rsidR="00C115B3">
        <w:rPr>
          <w:rStyle w:val="textlayer--absolute"/>
          <w:rFonts w:cs="Times New Roman"/>
        </w:rPr>
        <w:t xml:space="preserve"> </w:t>
      </w:r>
      <w:r w:rsidR="00C60B74" w:rsidRPr="00937EF7">
        <w:rPr>
          <w:rStyle w:val="textlayer--absolute"/>
          <w:rFonts w:cs="Times New Roman"/>
        </w:rPr>
        <w:t>https://population.un.org/wpp/Download/Standard/Migration/</w:t>
      </w:r>
    </w:p>
    <w:p w14:paraId="4448475B" w14:textId="146A84E3" w:rsidR="00C115B3" w:rsidRDefault="00C60B74" w:rsidP="0000419E">
      <w:pPr>
        <w:spacing w:line="240" w:lineRule="auto"/>
        <w:rPr>
          <w:rStyle w:val="textlayer--absolute"/>
          <w:rFonts w:cs="Times New Roman"/>
        </w:rPr>
      </w:pPr>
      <w:r w:rsidRPr="00937EF7">
        <w:rPr>
          <w:rStyle w:val="Hyperlink"/>
          <w:rFonts w:cs="Times New Roman"/>
          <w:color w:val="auto"/>
          <w:u w:val="none"/>
        </w:rPr>
        <w:t>8.</w:t>
      </w:r>
      <w:r w:rsidR="00C115B3">
        <w:rPr>
          <w:rStyle w:val="Hyperlink"/>
          <w:rFonts w:cs="Times New Roman"/>
          <w:color w:val="auto"/>
          <w:u w:val="none"/>
        </w:rPr>
        <w:t xml:space="preserve"> </w:t>
      </w:r>
      <w:r w:rsidR="004E197B" w:rsidRPr="00937EF7">
        <w:rPr>
          <w:rStyle w:val="textlayer--absolute"/>
          <w:rFonts w:cs="Times New Roman"/>
        </w:rPr>
        <w:t>https://ec.europa.eu/eurostat/web/main/home</w:t>
      </w:r>
    </w:p>
    <w:p w14:paraId="19BA79F6" w14:textId="51813555" w:rsidR="004E197B" w:rsidRPr="00937EF7" w:rsidRDefault="00C60B74" w:rsidP="0000419E">
      <w:pPr>
        <w:spacing w:line="240" w:lineRule="auto"/>
        <w:rPr>
          <w:rFonts w:cs="Times New Roman"/>
        </w:rPr>
      </w:pPr>
      <w:r w:rsidRPr="00937EF7">
        <w:rPr>
          <w:rFonts w:cs="Times New Roman"/>
        </w:rPr>
        <w:t>9</w:t>
      </w:r>
      <w:r w:rsidR="004E197B" w:rsidRPr="00937EF7">
        <w:rPr>
          <w:rFonts w:cs="Times New Roman"/>
        </w:rPr>
        <w:t>.  https://www.knomad.org/data/remittances</w:t>
      </w:r>
    </w:p>
    <w:p w14:paraId="4995DD7C" w14:textId="2646595E" w:rsidR="004E197B" w:rsidRDefault="00C60B74" w:rsidP="0000419E">
      <w:pPr>
        <w:spacing w:line="240" w:lineRule="auto"/>
        <w:rPr>
          <w:rFonts w:cs="Times New Roman"/>
        </w:rPr>
      </w:pPr>
      <w:r w:rsidRPr="00937EF7">
        <w:rPr>
          <w:rFonts w:cs="Times New Roman"/>
        </w:rPr>
        <w:t>10</w:t>
      </w:r>
      <w:r w:rsidR="004E197B" w:rsidRPr="00937EF7">
        <w:rPr>
          <w:rFonts w:cs="Times New Roman"/>
        </w:rPr>
        <w:t>. http://www.bmet.gov.bd/site/page/1baff8ec-27eb-48e0-9ec6-1751cd5411d8/-</w:t>
      </w:r>
    </w:p>
    <w:p w14:paraId="5E59F799" w14:textId="79416061" w:rsidR="008173C0" w:rsidRDefault="008173C0" w:rsidP="0000419E">
      <w:pPr>
        <w:spacing w:line="240" w:lineRule="auto"/>
        <w:rPr>
          <w:rFonts w:cs="Times New Roman"/>
        </w:rPr>
      </w:pPr>
      <w:r>
        <w:rPr>
          <w:rFonts w:cs="Times New Roman"/>
        </w:rPr>
        <w:t xml:space="preserve">12. </w:t>
      </w:r>
      <w:r w:rsidRPr="008173C0">
        <w:rPr>
          <w:rFonts w:cs="Times New Roman"/>
        </w:rPr>
        <w:t>https://www.bb.org.bd/en/index.php/econdata/wageremitance</w:t>
      </w:r>
    </w:p>
    <w:p w14:paraId="5C1B5EA7" w14:textId="13511AED" w:rsidR="008173C0" w:rsidRDefault="000C7B05" w:rsidP="0000419E">
      <w:pPr>
        <w:spacing w:line="240" w:lineRule="auto"/>
        <w:rPr>
          <w:rFonts w:cs="Times New Roman"/>
        </w:rPr>
      </w:pPr>
      <w:r>
        <w:rPr>
          <w:rFonts w:cs="Times New Roman"/>
        </w:rPr>
        <w:t xml:space="preserve">13. </w:t>
      </w:r>
      <w:r w:rsidRPr="000C7B05">
        <w:rPr>
          <w:rFonts w:cs="Times New Roman"/>
        </w:rPr>
        <w:t>https://www.internal-displacement.org/countries/</w:t>
      </w:r>
      <w:r>
        <w:rPr>
          <w:rFonts w:cs="Times New Roman"/>
        </w:rPr>
        <w:t>Bangladesh</w:t>
      </w:r>
    </w:p>
    <w:p w14:paraId="2982B530" w14:textId="639EF6A5" w:rsidR="000C7B05" w:rsidRDefault="0002409A" w:rsidP="0000419E">
      <w:pPr>
        <w:spacing w:line="240" w:lineRule="auto"/>
        <w:rPr>
          <w:rFonts w:cs="Times New Roman"/>
        </w:rPr>
      </w:pPr>
      <w:r>
        <w:rPr>
          <w:rFonts w:cs="Times New Roman"/>
        </w:rPr>
        <w:t xml:space="preserve">14. </w:t>
      </w:r>
      <w:r w:rsidRPr="0002409A">
        <w:rPr>
          <w:rFonts w:cs="Times New Roman"/>
        </w:rPr>
        <w:t>https://www.unhcr.org/refugee-statistics/download/?url=f8wzj7</w:t>
      </w:r>
    </w:p>
    <w:p w14:paraId="17BDEFBF" w14:textId="77777777" w:rsidR="00C115B3" w:rsidRDefault="00D70A0D" w:rsidP="0000419E">
      <w:pPr>
        <w:spacing w:line="240" w:lineRule="auto"/>
        <w:rPr>
          <w:rFonts w:cs="Times New Roman"/>
        </w:rPr>
      </w:pPr>
      <w:r>
        <w:rPr>
          <w:rFonts w:cs="Times New Roman"/>
        </w:rPr>
        <w:t xml:space="preserve">15. </w:t>
      </w:r>
      <w:r w:rsidRPr="00D70A0D">
        <w:rPr>
          <w:rFonts w:cs="Times New Roman"/>
        </w:rPr>
        <w:t>https://www.worlddata.info/asia/bangladesh/asylum.php</w:t>
      </w:r>
    </w:p>
    <w:p w14:paraId="67216A76" w14:textId="3CF2799E" w:rsidR="00C115B3" w:rsidRDefault="00C115B3" w:rsidP="00C115B3">
      <w:pPr>
        <w:spacing w:line="240" w:lineRule="auto"/>
        <w:rPr>
          <w:rFonts w:cs="Times New Roman"/>
        </w:rPr>
      </w:pPr>
      <w:r>
        <w:rPr>
          <w:rFonts w:cs="Times New Roman"/>
        </w:rPr>
        <w:t>16</w:t>
      </w:r>
      <w:proofErr w:type="gramStart"/>
      <w:r>
        <w:rPr>
          <w:rFonts w:cs="Times New Roman"/>
        </w:rPr>
        <w:t>.</w:t>
      </w:r>
      <w:r w:rsidRPr="00D70A0D">
        <w:rPr>
          <w:rFonts w:cs="Times New Roman"/>
        </w:rPr>
        <w:t>https</w:t>
      </w:r>
      <w:proofErr w:type="gramEnd"/>
      <w:r w:rsidR="00D70A0D" w:rsidRPr="00D70A0D">
        <w:rPr>
          <w:rFonts w:cs="Times New Roman"/>
        </w:rPr>
        <w:t>://www.refugeesinternational.org/reports/2022/12/12/hope-amid-despair-finding-solutions-for-rohingya-in-bangladesh</w:t>
      </w:r>
    </w:p>
    <w:p w14:paraId="731E022B" w14:textId="07FE2C34" w:rsidR="001C7688" w:rsidRPr="00937EF7" w:rsidRDefault="00411E2B" w:rsidP="00C115B3">
      <w:pPr>
        <w:spacing w:line="240" w:lineRule="auto"/>
        <w:rPr>
          <w:b/>
          <w:bCs/>
          <w:caps/>
          <w:sz w:val="28"/>
          <w:szCs w:val="28"/>
        </w:rPr>
      </w:pPr>
      <w:r>
        <w:t>17. http://www.mcrg.ac.in/rw%20files/RW39_40/12.pdf</w:t>
      </w:r>
    </w:p>
    <w:p w14:paraId="653D0554" w14:textId="402BDFA1" w:rsidR="003C3221" w:rsidRDefault="003C7E12" w:rsidP="0000419E">
      <w:pPr>
        <w:spacing w:line="240" w:lineRule="auto"/>
        <w:jc w:val="left"/>
      </w:pPr>
      <w:r>
        <w:t>18. Dhaka University Law Journal, Studies Part-F Vol. XVIII (1): 109— 130 June 2007</w:t>
      </w:r>
    </w:p>
    <w:p w14:paraId="36044BBF" w14:textId="79BC6BE4" w:rsidR="00571F84" w:rsidRDefault="00571F84" w:rsidP="0000419E">
      <w:pPr>
        <w:spacing w:line="240" w:lineRule="auto"/>
        <w:jc w:val="left"/>
      </w:pPr>
      <w:r>
        <w:t>19. International Journal of Ethics in Social Sciences, Vol. 6, No. 1, June 2018</w:t>
      </w:r>
    </w:p>
    <w:p w14:paraId="4C83F50D" w14:textId="77777777" w:rsidR="00571F84" w:rsidRDefault="00571F84" w:rsidP="0000419E">
      <w:pPr>
        <w:spacing w:line="240" w:lineRule="auto"/>
        <w:jc w:val="left"/>
      </w:pPr>
    </w:p>
    <w:p w14:paraId="73FE5EDF" w14:textId="77777777" w:rsidR="005B6BDE" w:rsidRPr="00937EF7" w:rsidRDefault="005B6BDE" w:rsidP="0000419E">
      <w:pPr>
        <w:spacing w:line="240" w:lineRule="auto"/>
        <w:jc w:val="left"/>
        <w:rPr>
          <w:b/>
          <w:bCs/>
          <w:caps/>
          <w:sz w:val="28"/>
          <w:szCs w:val="28"/>
        </w:rPr>
      </w:pPr>
    </w:p>
    <w:p w14:paraId="34E4C33C" w14:textId="15CF54B4" w:rsidR="008D0087" w:rsidRPr="008D0087" w:rsidRDefault="008D0087" w:rsidP="0000419E">
      <w:pPr>
        <w:pStyle w:val="font8"/>
        <w:rPr>
          <w:rFonts w:ascii="Cambria" w:hAnsi="Cambria"/>
        </w:rPr>
      </w:pPr>
      <w:r w:rsidRPr="008D0087">
        <w:rPr>
          <w:rFonts w:ascii="Cambria" w:hAnsi="Cambria"/>
        </w:rPr>
        <w:t>Written by</w:t>
      </w:r>
    </w:p>
    <w:p w14:paraId="006D0927" w14:textId="4B77082F" w:rsidR="008D0087" w:rsidRPr="008D0087" w:rsidRDefault="008D0087" w:rsidP="0000419E">
      <w:pPr>
        <w:pStyle w:val="font8"/>
        <w:rPr>
          <w:rFonts w:ascii="Cambria" w:hAnsi="Cambria"/>
          <w:b/>
        </w:rPr>
      </w:pPr>
      <w:r w:rsidRPr="008D0087">
        <w:rPr>
          <w:rFonts w:ascii="Cambria" w:hAnsi="Cambria"/>
          <w:b/>
        </w:rPr>
        <w:t>DEBABRATA GHOSH</w:t>
      </w:r>
      <w:bookmarkStart w:id="8" w:name="_GoBack"/>
      <w:bookmarkEnd w:id="8"/>
    </w:p>
    <w:p w14:paraId="1EDAFF6B" w14:textId="581801CE" w:rsidR="008D0087" w:rsidRPr="008D0087" w:rsidRDefault="008D0087" w:rsidP="008D0087">
      <w:pPr>
        <w:pStyle w:val="font8"/>
        <w:rPr>
          <w:rFonts w:ascii="Cambria" w:hAnsi="Cambria"/>
        </w:rPr>
      </w:pPr>
      <w:r w:rsidRPr="008D0087">
        <w:rPr>
          <w:rFonts w:ascii="Cambria" w:hAnsi="Cambria"/>
        </w:rPr>
        <w:t>Assistant Direc</w:t>
      </w:r>
      <w:r w:rsidRPr="008D0087">
        <w:rPr>
          <w:rFonts w:ascii="Cambria" w:hAnsi="Cambria"/>
        </w:rPr>
        <w:t xml:space="preserve">tor </w:t>
      </w:r>
    </w:p>
    <w:p w14:paraId="1C302587" w14:textId="5112709D" w:rsidR="008D0087" w:rsidRPr="008D0087" w:rsidRDefault="008D0087" w:rsidP="008D0087">
      <w:pPr>
        <w:pStyle w:val="font8"/>
        <w:rPr>
          <w:rFonts w:ascii="Cambria" w:hAnsi="Cambria"/>
        </w:rPr>
      </w:pPr>
      <w:r w:rsidRPr="008D0087">
        <w:rPr>
          <w:rFonts w:ascii="Cambria" w:hAnsi="Cambria"/>
        </w:rPr>
        <w:t xml:space="preserve">District Employment and Manpower Office (DEMO), </w:t>
      </w:r>
      <w:proofErr w:type="spellStart"/>
      <w:r w:rsidRPr="008D0087">
        <w:rPr>
          <w:rFonts w:ascii="Cambria" w:hAnsi="Cambria"/>
        </w:rPr>
        <w:t>Cumilla</w:t>
      </w:r>
      <w:proofErr w:type="spellEnd"/>
    </w:p>
    <w:p w14:paraId="33249E55" w14:textId="52856BDC" w:rsidR="008D0087" w:rsidRPr="008D0087" w:rsidRDefault="008D0087" w:rsidP="008D0087">
      <w:pPr>
        <w:pStyle w:val="font8"/>
        <w:rPr>
          <w:rFonts w:ascii="Cambria" w:hAnsi="Cambria"/>
        </w:rPr>
      </w:pPr>
      <w:r w:rsidRPr="008D0087">
        <w:rPr>
          <w:rFonts w:ascii="Cambria" w:hAnsi="Cambria"/>
        </w:rPr>
        <w:t>Bureau of Manpower, Employment and Training (BMET)</w:t>
      </w:r>
    </w:p>
    <w:p w14:paraId="220305EE" w14:textId="17BB1DA5" w:rsidR="009D48C2" w:rsidRPr="008D0087" w:rsidRDefault="008D0087" w:rsidP="0000419E">
      <w:pPr>
        <w:pStyle w:val="font8"/>
        <w:rPr>
          <w:rFonts w:ascii="Cambria" w:hAnsi="Cambria"/>
        </w:rPr>
      </w:pPr>
      <w:r w:rsidRPr="008D0087">
        <w:rPr>
          <w:rFonts w:ascii="Cambria" w:hAnsi="Cambria"/>
        </w:rPr>
        <w:t xml:space="preserve">Ministry of Expatriates’ Welfare and Overseas Employment </w:t>
      </w:r>
    </w:p>
    <w:sectPr w:rsidR="009D48C2" w:rsidRPr="008D0087" w:rsidSect="009C201D">
      <w:footerReference w:type="default" r:id="rId39"/>
      <w:pgSz w:w="12240" w:h="15840"/>
      <w:pgMar w:top="1440" w:right="1800" w:bottom="1418"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4DFC9" w14:textId="77777777" w:rsidR="00F452C6" w:rsidRDefault="00F452C6">
      <w:pPr>
        <w:spacing w:after="0" w:line="240" w:lineRule="auto"/>
      </w:pPr>
      <w:r>
        <w:separator/>
      </w:r>
    </w:p>
    <w:p w14:paraId="7969F02B" w14:textId="77777777" w:rsidR="00F452C6" w:rsidRDefault="00F452C6"/>
  </w:endnote>
  <w:endnote w:type="continuationSeparator" w:id="0">
    <w:p w14:paraId="6B3831AA" w14:textId="77777777" w:rsidR="00F452C6" w:rsidRDefault="00F452C6">
      <w:pPr>
        <w:spacing w:after="0" w:line="240" w:lineRule="auto"/>
      </w:pPr>
      <w:r>
        <w:continuationSeparator/>
      </w:r>
    </w:p>
    <w:p w14:paraId="65D62757" w14:textId="77777777" w:rsidR="00F452C6" w:rsidRDefault="00F45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BA12B" w14:textId="77777777" w:rsidR="00571F84" w:rsidRDefault="00571F84">
    <w:pPr>
      <w:pStyle w:val="Footer"/>
    </w:pPr>
    <w:r>
      <w:fldChar w:fldCharType="begin"/>
    </w:r>
    <w:r>
      <w:instrText xml:space="preserve"> PAGE   \* MERGEFORMAT </w:instrText>
    </w:r>
    <w:r>
      <w:fldChar w:fldCharType="separate"/>
    </w:r>
    <w:r w:rsidR="000838F5">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C4A2D" w14:textId="77777777" w:rsidR="00F452C6" w:rsidRDefault="00F452C6">
      <w:pPr>
        <w:spacing w:after="0" w:line="240" w:lineRule="auto"/>
      </w:pPr>
      <w:r>
        <w:separator/>
      </w:r>
    </w:p>
    <w:p w14:paraId="4B066295" w14:textId="77777777" w:rsidR="00F452C6" w:rsidRDefault="00F452C6"/>
  </w:footnote>
  <w:footnote w:type="continuationSeparator" w:id="0">
    <w:p w14:paraId="6F4BA100" w14:textId="77777777" w:rsidR="00F452C6" w:rsidRDefault="00F452C6">
      <w:pPr>
        <w:spacing w:after="0" w:line="240" w:lineRule="auto"/>
      </w:pPr>
      <w:r>
        <w:continuationSeparator/>
      </w:r>
    </w:p>
    <w:p w14:paraId="436C6EAB" w14:textId="77777777" w:rsidR="00F452C6" w:rsidRDefault="00F452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FAA2BC6"/>
    <w:multiLevelType w:val="multilevel"/>
    <w:tmpl w:val="EA7A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F2162"/>
    <w:multiLevelType w:val="multilevel"/>
    <w:tmpl w:val="47063DC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A82700"/>
    <w:multiLevelType w:val="multilevel"/>
    <w:tmpl w:val="C02E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6418A9"/>
    <w:multiLevelType w:val="multilevel"/>
    <w:tmpl w:val="D6AAC5E4"/>
    <w:lvl w:ilvl="0">
      <w:start w:val="1"/>
      <w:numFmt w:val="bullet"/>
      <w:pStyle w:val="BulletPoints"/>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404021F7"/>
    <w:multiLevelType w:val="hybridMultilevel"/>
    <w:tmpl w:val="4EC2EA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C845E0"/>
    <w:multiLevelType w:val="hybridMultilevel"/>
    <w:tmpl w:val="E53E3C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0024E3"/>
    <w:multiLevelType w:val="multilevel"/>
    <w:tmpl w:val="A5C0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01C3294"/>
    <w:multiLevelType w:val="multilevel"/>
    <w:tmpl w:val="3934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D46F33"/>
    <w:multiLevelType w:val="multilevel"/>
    <w:tmpl w:val="73F4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0B7989"/>
    <w:multiLevelType w:val="multilevel"/>
    <w:tmpl w:val="869E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2"/>
  </w:num>
  <w:num w:numId="5">
    <w:abstractNumId w:val="6"/>
  </w:num>
  <w:num w:numId="6">
    <w:abstractNumId w:val="5"/>
  </w:num>
  <w:num w:numId="7">
    <w:abstractNumId w:val="3"/>
  </w:num>
  <w:num w:numId="8">
    <w:abstractNumId w:val="10"/>
  </w:num>
  <w:num w:numId="9">
    <w:abstractNumId w:val="1"/>
  </w:num>
  <w:num w:numId="10">
    <w:abstractNumId w:val="7"/>
  </w:num>
  <w:num w:numId="11">
    <w:abstractNumId w:val="9"/>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U0NbAwNzW0tDCzMDBR0lEKTi0uzszPAykwqgUAQS3HOCwAAAA="/>
  </w:docVars>
  <w:rsids>
    <w:rsidRoot w:val="00FD7222"/>
    <w:rsid w:val="000037C6"/>
    <w:rsid w:val="0000419E"/>
    <w:rsid w:val="000120EE"/>
    <w:rsid w:val="0001683E"/>
    <w:rsid w:val="0002409A"/>
    <w:rsid w:val="00032332"/>
    <w:rsid w:val="00037356"/>
    <w:rsid w:val="00042D26"/>
    <w:rsid w:val="000439D1"/>
    <w:rsid w:val="0005035D"/>
    <w:rsid w:val="00051678"/>
    <w:rsid w:val="00052696"/>
    <w:rsid w:val="00075125"/>
    <w:rsid w:val="00075A6F"/>
    <w:rsid w:val="0007624A"/>
    <w:rsid w:val="00080C63"/>
    <w:rsid w:val="000838F5"/>
    <w:rsid w:val="00094E4D"/>
    <w:rsid w:val="000950A6"/>
    <w:rsid w:val="00095E18"/>
    <w:rsid w:val="000B0AAA"/>
    <w:rsid w:val="000C47C7"/>
    <w:rsid w:val="000C5EF8"/>
    <w:rsid w:val="000C7B05"/>
    <w:rsid w:val="000D0158"/>
    <w:rsid w:val="000D1F66"/>
    <w:rsid w:val="000D3390"/>
    <w:rsid w:val="000D3CA1"/>
    <w:rsid w:val="000D66B2"/>
    <w:rsid w:val="000D74CA"/>
    <w:rsid w:val="000E3583"/>
    <w:rsid w:val="000F19F8"/>
    <w:rsid w:val="000F51C7"/>
    <w:rsid w:val="00100B50"/>
    <w:rsid w:val="0011632B"/>
    <w:rsid w:val="00116604"/>
    <w:rsid w:val="0012603C"/>
    <w:rsid w:val="001266D1"/>
    <w:rsid w:val="0014587D"/>
    <w:rsid w:val="00146D7A"/>
    <w:rsid w:val="001501E4"/>
    <w:rsid w:val="00150CBE"/>
    <w:rsid w:val="00162506"/>
    <w:rsid w:val="00164770"/>
    <w:rsid w:val="00166656"/>
    <w:rsid w:val="001671B0"/>
    <w:rsid w:val="001709F3"/>
    <w:rsid w:val="001800F8"/>
    <w:rsid w:val="00190FDD"/>
    <w:rsid w:val="00191FE6"/>
    <w:rsid w:val="00194272"/>
    <w:rsid w:val="001958C1"/>
    <w:rsid w:val="001A539F"/>
    <w:rsid w:val="001B6482"/>
    <w:rsid w:val="001C7688"/>
    <w:rsid w:val="001D517E"/>
    <w:rsid w:val="001D6FE8"/>
    <w:rsid w:val="001F5796"/>
    <w:rsid w:val="00207FB1"/>
    <w:rsid w:val="0021252E"/>
    <w:rsid w:val="00220DCE"/>
    <w:rsid w:val="00236FFD"/>
    <w:rsid w:val="0024426C"/>
    <w:rsid w:val="002665AC"/>
    <w:rsid w:val="00266795"/>
    <w:rsid w:val="002832D7"/>
    <w:rsid w:val="0028402D"/>
    <w:rsid w:val="00292901"/>
    <w:rsid w:val="00294C3F"/>
    <w:rsid w:val="002A6AC4"/>
    <w:rsid w:val="002B20F2"/>
    <w:rsid w:val="002B78D7"/>
    <w:rsid w:val="002C1552"/>
    <w:rsid w:val="002C365C"/>
    <w:rsid w:val="002C3CA8"/>
    <w:rsid w:val="002D1287"/>
    <w:rsid w:val="002E0B5E"/>
    <w:rsid w:val="002E1CFA"/>
    <w:rsid w:val="002E58E1"/>
    <w:rsid w:val="002F6A2A"/>
    <w:rsid w:val="0030034B"/>
    <w:rsid w:val="00300A06"/>
    <w:rsid w:val="00303660"/>
    <w:rsid w:val="00314FB7"/>
    <w:rsid w:val="00315E05"/>
    <w:rsid w:val="00320F71"/>
    <w:rsid w:val="003349A9"/>
    <w:rsid w:val="0034617C"/>
    <w:rsid w:val="00351D7B"/>
    <w:rsid w:val="00356102"/>
    <w:rsid w:val="00362478"/>
    <w:rsid w:val="00370EE3"/>
    <w:rsid w:val="00372F85"/>
    <w:rsid w:val="003809A8"/>
    <w:rsid w:val="00386810"/>
    <w:rsid w:val="0039556C"/>
    <w:rsid w:val="003962C3"/>
    <w:rsid w:val="003A3957"/>
    <w:rsid w:val="003A759B"/>
    <w:rsid w:val="003B0C99"/>
    <w:rsid w:val="003B1257"/>
    <w:rsid w:val="003B3468"/>
    <w:rsid w:val="003C3221"/>
    <w:rsid w:val="003C460A"/>
    <w:rsid w:val="003C5A1F"/>
    <w:rsid w:val="003C7E12"/>
    <w:rsid w:val="003D6F57"/>
    <w:rsid w:val="003E0B90"/>
    <w:rsid w:val="003E1BEB"/>
    <w:rsid w:val="003E1DE0"/>
    <w:rsid w:val="003E1FE1"/>
    <w:rsid w:val="003E29D8"/>
    <w:rsid w:val="003E5FBB"/>
    <w:rsid w:val="003F04FE"/>
    <w:rsid w:val="003F2336"/>
    <w:rsid w:val="003F397A"/>
    <w:rsid w:val="003F3D12"/>
    <w:rsid w:val="00402BD7"/>
    <w:rsid w:val="00411E2B"/>
    <w:rsid w:val="00415209"/>
    <w:rsid w:val="004213B4"/>
    <w:rsid w:val="00423322"/>
    <w:rsid w:val="00423721"/>
    <w:rsid w:val="00424F79"/>
    <w:rsid w:val="004343C1"/>
    <w:rsid w:val="004354A8"/>
    <w:rsid w:val="00443A6E"/>
    <w:rsid w:val="0044583B"/>
    <w:rsid w:val="004724EB"/>
    <w:rsid w:val="00475D2F"/>
    <w:rsid w:val="0047626A"/>
    <w:rsid w:val="00484A20"/>
    <w:rsid w:val="00492C8E"/>
    <w:rsid w:val="00492EC4"/>
    <w:rsid w:val="004934F0"/>
    <w:rsid w:val="004B40AA"/>
    <w:rsid w:val="004B7998"/>
    <w:rsid w:val="004C0D7C"/>
    <w:rsid w:val="004C1D20"/>
    <w:rsid w:val="004C34D9"/>
    <w:rsid w:val="004C50E5"/>
    <w:rsid w:val="004C6E53"/>
    <w:rsid w:val="004E197B"/>
    <w:rsid w:val="004E46DF"/>
    <w:rsid w:val="004F3397"/>
    <w:rsid w:val="004F75A9"/>
    <w:rsid w:val="00512AFB"/>
    <w:rsid w:val="00515395"/>
    <w:rsid w:val="00520F11"/>
    <w:rsid w:val="00521179"/>
    <w:rsid w:val="00524764"/>
    <w:rsid w:val="00527D29"/>
    <w:rsid w:val="0053317B"/>
    <w:rsid w:val="00533DD9"/>
    <w:rsid w:val="00537BD5"/>
    <w:rsid w:val="0054120E"/>
    <w:rsid w:val="00541C26"/>
    <w:rsid w:val="00543869"/>
    <w:rsid w:val="0054530F"/>
    <w:rsid w:val="005505A0"/>
    <w:rsid w:val="0055429E"/>
    <w:rsid w:val="00564FBA"/>
    <w:rsid w:val="0056685E"/>
    <w:rsid w:val="00567C7E"/>
    <w:rsid w:val="00571F84"/>
    <w:rsid w:val="00575258"/>
    <w:rsid w:val="00580B88"/>
    <w:rsid w:val="00582EC3"/>
    <w:rsid w:val="00586092"/>
    <w:rsid w:val="00586EBD"/>
    <w:rsid w:val="005951A2"/>
    <w:rsid w:val="005B1CB9"/>
    <w:rsid w:val="005B1D2D"/>
    <w:rsid w:val="005B4CE2"/>
    <w:rsid w:val="005B6BDE"/>
    <w:rsid w:val="005C02F3"/>
    <w:rsid w:val="005C1DF6"/>
    <w:rsid w:val="005C7BF4"/>
    <w:rsid w:val="005D0ECF"/>
    <w:rsid w:val="005D1A62"/>
    <w:rsid w:val="005D3A16"/>
    <w:rsid w:val="005E06CF"/>
    <w:rsid w:val="005E16C6"/>
    <w:rsid w:val="005E4CED"/>
    <w:rsid w:val="005E5B89"/>
    <w:rsid w:val="005F52E8"/>
    <w:rsid w:val="006015E2"/>
    <w:rsid w:val="00602678"/>
    <w:rsid w:val="006100A2"/>
    <w:rsid w:val="00615EF6"/>
    <w:rsid w:val="00623383"/>
    <w:rsid w:val="00625F5C"/>
    <w:rsid w:val="00633C10"/>
    <w:rsid w:val="00634980"/>
    <w:rsid w:val="00643EBD"/>
    <w:rsid w:val="0064412A"/>
    <w:rsid w:val="00644E0D"/>
    <w:rsid w:val="006462E5"/>
    <w:rsid w:val="00674683"/>
    <w:rsid w:val="00692E1F"/>
    <w:rsid w:val="006950CE"/>
    <w:rsid w:val="00696D06"/>
    <w:rsid w:val="006A1A90"/>
    <w:rsid w:val="006A3AD6"/>
    <w:rsid w:val="006A43A7"/>
    <w:rsid w:val="006A57B4"/>
    <w:rsid w:val="006B03CF"/>
    <w:rsid w:val="006B6AF4"/>
    <w:rsid w:val="006B72AC"/>
    <w:rsid w:val="006C18A2"/>
    <w:rsid w:val="006C451B"/>
    <w:rsid w:val="006D4FA0"/>
    <w:rsid w:val="006D5540"/>
    <w:rsid w:val="006D5F0B"/>
    <w:rsid w:val="006E0BF4"/>
    <w:rsid w:val="006E2B71"/>
    <w:rsid w:val="007002A7"/>
    <w:rsid w:val="00701E60"/>
    <w:rsid w:val="00716966"/>
    <w:rsid w:val="007208C3"/>
    <w:rsid w:val="00721AE6"/>
    <w:rsid w:val="00723140"/>
    <w:rsid w:val="00731677"/>
    <w:rsid w:val="00732E6A"/>
    <w:rsid w:val="00732F57"/>
    <w:rsid w:val="00740829"/>
    <w:rsid w:val="00753DDF"/>
    <w:rsid w:val="00767091"/>
    <w:rsid w:val="00771293"/>
    <w:rsid w:val="007767F4"/>
    <w:rsid w:val="00782D30"/>
    <w:rsid w:val="007863D7"/>
    <w:rsid w:val="00793758"/>
    <w:rsid w:val="007948A4"/>
    <w:rsid w:val="007A06AE"/>
    <w:rsid w:val="007A38BC"/>
    <w:rsid w:val="007B1D74"/>
    <w:rsid w:val="007C5617"/>
    <w:rsid w:val="007C6023"/>
    <w:rsid w:val="007C7A41"/>
    <w:rsid w:val="007D0930"/>
    <w:rsid w:val="007D4FE1"/>
    <w:rsid w:val="007E2606"/>
    <w:rsid w:val="0080063F"/>
    <w:rsid w:val="00807F4F"/>
    <w:rsid w:val="00814746"/>
    <w:rsid w:val="008173C0"/>
    <w:rsid w:val="0081782A"/>
    <w:rsid w:val="00826D43"/>
    <w:rsid w:val="00830741"/>
    <w:rsid w:val="00843789"/>
    <w:rsid w:val="00850C37"/>
    <w:rsid w:val="00850C93"/>
    <w:rsid w:val="00851BEE"/>
    <w:rsid w:val="00852C83"/>
    <w:rsid w:val="0085739E"/>
    <w:rsid w:val="0086137E"/>
    <w:rsid w:val="00865B66"/>
    <w:rsid w:val="008666B4"/>
    <w:rsid w:val="00875EAB"/>
    <w:rsid w:val="00885D78"/>
    <w:rsid w:val="008861C5"/>
    <w:rsid w:val="00890F29"/>
    <w:rsid w:val="008955DF"/>
    <w:rsid w:val="00895E74"/>
    <w:rsid w:val="00896C25"/>
    <w:rsid w:val="008A1467"/>
    <w:rsid w:val="008C0E32"/>
    <w:rsid w:val="008D0087"/>
    <w:rsid w:val="008D1154"/>
    <w:rsid w:val="008D4EA9"/>
    <w:rsid w:val="008D79E5"/>
    <w:rsid w:val="008F2538"/>
    <w:rsid w:val="008F50FF"/>
    <w:rsid w:val="00907292"/>
    <w:rsid w:val="00911F5E"/>
    <w:rsid w:val="00914864"/>
    <w:rsid w:val="00917394"/>
    <w:rsid w:val="0092668A"/>
    <w:rsid w:val="00932410"/>
    <w:rsid w:val="00937EF7"/>
    <w:rsid w:val="00944C0C"/>
    <w:rsid w:val="00946DF0"/>
    <w:rsid w:val="009517AE"/>
    <w:rsid w:val="0095435F"/>
    <w:rsid w:val="0096093F"/>
    <w:rsid w:val="00976A51"/>
    <w:rsid w:val="0098635B"/>
    <w:rsid w:val="009866E2"/>
    <w:rsid w:val="009C201D"/>
    <w:rsid w:val="009C623B"/>
    <w:rsid w:val="009C6B1E"/>
    <w:rsid w:val="009D292F"/>
    <w:rsid w:val="009D48C2"/>
    <w:rsid w:val="009D4D66"/>
    <w:rsid w:val="009E0382"/>
    <w:rsid w:val="009E2290"/>
    <w:rsid w:val="009E654C"/>
    <w:rsid w:val="009F012D"/>
    <w:rsid w:val="00A02308"/>
    <w:rsid w:val="00A050E3"/>
    <w:rsid w:val="00A067C9"/>
    <w:rsid w:val="00A120FD"/>
    <w:rsid w:val="00A15841"/>
    <w:rsid w:val="00A32EA5"/>
    <w:rsid w:val="00A33727"/>
    <w:rsid w:val="00A34115"/>
    <w:rsid w:val="00A36851"/>
    <w:rsid w:val="00A40744"/>
    <w:rsid w:val="00A4447A"/>
    <w:rsid w:val="00A5092C"/>
    <w:rsid w:val="00A612B6"/>
    <w:rsid w:val="00A61B56"/>
    <w:rsid w:val="00A64988"/>
    <w:rsid w:val="00A65594"/>
    <w:rsid w:val="00A76768"/>
    <w:rsid w:val="00A76964"/>
    <w:rsid w:val="00A7696B"/>
    <w:rsid w:val="00A85E5E"/>
    <w:rsid w:val="00A86F1A"/>
    <w:rsid w:val="00A91084"/>
    <w:rsid w:val="00A973D4"/>
    <w:rsid w:val="00AA0386"/>
    <w:rsid w:val="00AA560F"/>
    <w:rsid w:val="00AB566C"/>
    <w:rsid w:val="00AB746D"/>
    <w:rsid w:val="00AC2B8A"/>
    <w:rsid w:val="00AE3359"/>
    <w:rsid w:val="00AF408F"/>
    <w:rsid w:val="00AF57CA"/>
    <w:rsid w:val="00B02DF1"/>
    <w:rsid w:val="00B078B8"/>
    <w:rsid w:val="00B23728"/>
    <w:rsid w:val="00B33999"/>
    <w:rsid w:val="00B36A88"/>
    <w:rsid w:val="00B442E5"/>
    <w:rsid w:val="00B47DAE"/>
    <w:rsid w:val="00B50297"/>
    <w:rsid w:val="00B51DA0"/>
    <w:rsid w:val="00B51EB3"/>
    <w:rsid w:val="00B6049A"/>
    <w:rsid w:val="00B60B0D"/>
    <w:rsid w:val="00B6214E"/>
    <w:rsid w:val="00B66074"/>
    <w:rsid w:val="00B660C0"/>
    <w:rsid w:val="00B769A0"/>
    <w:rsid w:val="00B8737E"/>
    <w:rsid w:val="00B908B8"/>
    <w:rsid w:val="00B90E82"/>
    <w:rsid w:val="00B979D8"/>
    <w:rsid w:val="00BB1F80"/>
    <w:rsid w:val="00BB7054"/>
    <w:rsid w:val="00BC7357"/>
    <w:rsid w:val="00BD4F4F"/>
    <w:rsid w:val="00BF1F7E"/>
    <w:rsid w:val="00BF268E"/>
    <w:rsid w:val="00BF4CBA"/>
    <w:rsid w:val="00C02A44"/>
    <w:rsid w:val="00C05C9A"/>
    <w:rsid w:val="00C06752"/>
    <w:rsid w:val="00C115B3"/>
    <w:rsid w:val="00C11B7B"/>
    <w:rsid w:val="00C1333B"/>
    <w:rsid w:val="00C3534D"/>
    <w:rsid w:val="00C353A4"/>
    <w:rsid w:val="00C40A97"/>
    <w:rsid w:val="00C44DF6"/>
    <w:rsid w:val="00C569D9"/>
    <w:rsid w:val="00C602EA"/>
    <w:rsid w:val="00C60B74"/>
    <w:rsid w:val="00C61D03"/>
    <w:rsid w:val="00C637F3"/>
    <w:rsid w:val="00C6501D"/>
    <w:rsid w:val="00C84CDB"/>
    <w:rsid w:val="00C914BA"/>
    <w:rsid w:val="00CA0FAF"/>
    <w:rsid w:val="00CA454E"/>
    <w:rsid w:val="00CB3053"/>
    <w:rsid w:val="00CE0158"/>
    <w:rsid w:val="00CE49E9"/>
    <w:rsid w:val="00CF7CF4"/>
    <w:rsid w:val="00CF7F3E"/>
    <w:rsid w:val="00D0254A"/>
    <w:rsid w:val="00D05B43"/>
    <w:rsid w:val="00D10158"/>
    <w:rsid w:val="00D11EA6"/>
    <w:rsid w:val="00D17D26"/>
    <w:rsid w:val="00D25661"/>
    <w:rsid w:val="00D31C05"/>
    <w:rsid w:val="00D33FF9"/>
    <w:rsid w:val="00D3679D"/>
    <w:rsid w:val="00D415C8"/>
    <w:rsid w:val="00D43CAF"/>
    <w:rsid w:val="00D51F0D"/>
    <w:rsid w:val="00D528DF"/>
    <w:rsid w:val="00D52C62"/>
    <w:rsid w:val="00D53C1C"/>
    <w:rsid w:val="00D618D2"/>
    <w:rsid w:val="00D63FA1"/>
    <w:rsid w:val="00D65A5A"/>
    <w:rsid w:val="00D70A0D"/>
    <w:rsid w:val="00D72938"/>
    <w:rsid w:val="00D761D5"/>
    <w:rsid w:val="00D83C63"/>
    <w:rsid w:val="00D9093C"/>
    <w:rsid w:val="00DB3422"/>
    <w:rsid w:val="00DB445C"/>
    <w:rsid w:val="00DB49AE"/>
    <w:rsid w:val="00DB6235"/>
    <w:rsid w:val="00DB6BE0"/>
    <w:rsid w:val="00DC291B"/>
    <w:rsid w:val="00DC7D27"/>
    <w:rsid w:val="00DE223C"/>
    <w:rsid w:val="00DE303C"/>
    <w:rsid w:val="00E00901"/>
    <w:rsid w:val="00E02FC2"/>
    <w:rsid w:val="00E036BB"/>
    <w:rsid w:val="00E10CA0"/>
    <w:rsid w:val="00E11ED4"/>
    <w:rsid w:val="00E129F9"/>
    <w:rsid w:val="00E16E50"/>
    <w:rsid w:val="00E17317"/>
    <w:rsid w:val="00E2412A"/>
    <w:rsid w:val="00E31610"/>
    <w:rsid w:val="00E36149"/>
    <w:rsid w:val="00E37BD5"/>
    <w:rsid w:val="00E42DB6"/>
    <w:rsid w:val="00E52253"/>
    <w:rsid w:val="00E538EB"/>
    <w:rsid w:val="00E53B07"/>
    <w:rsid w:val="00E60CF9"/>
    <w:rsid w:val="00E65C2A"/>
    <w:rsid w:val="00E70205"/>
    <w:rsid w:val="00E73791"/>
    <w:rsid w:val="00E80023"/>
    <w:rsid w:val="00E80B98"/>
    <w:rsid w:val="00E91DF1"/>
    <w:rsid w:val="00EA546F"/>
    <w:rsid w:val="00EB2DC4"/>
    <w:rsid w:val="00EC1F47"/>
    <w:rsid w:val="00EC3241"/>
    <w:rsid w:val="00ED1A4D"/>
    <w:rsid w:val="00ED4535"/>
    <w:rsid w:val="00EE2295"/>
    <w:rsid w:val="00EF4872"/>
    <w:rsid w:val="00EF67A8"/>
    <w:rsid w:val="00EF79ED"/>
    <w:rsid w:val="00EF7BD8"/>
    <w:rsid w:val="00F01D75"/>
    <w:rsid w:val="00F06630"/>
    <w:rsid w:val="00F12069"/>
    <w:rsid w:val="00F12BCA"/>
    <w:rsid w:val="00F21F43"/>
    <w:rsid w:val="00F24F11"/>
    <w:rsid w:val="00F44B50"/>
    <w:rsid w:val="00F452C6"/>
    <w:rsid w:val="00F46D3B"/>
    <w:rsid w:val="00F54429"/>
    <w:rsid w:val="00F61416"/>
    <w:rsid w:val="00F662F9"/>
    <w:rsid w:val="00F66FA6"/>
    <w:rsid w:val="00F87C21"/>
    <w:rsid w:val="00F90514"/>
    <w:rsid w:val="00F97057"/>
    <w:rsid w:val="00F97E4B"/>
    <w:rsid w:val="00FB1001"/>
    <w:rsid w:val="00FB3EA4"/>
    <w:rsid w:val="00FD7222"/>
    <w:rsid w:val="00FF2F1D"/>
    <w:rsid w:val="00FF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5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0" w:unhideWhenUsed="0"/>
    <w:lsdException w:name="List Number" w:qFormat="1"/>
    <w:lsdException w:name="Title" w:semiHidden="0" w:uiPriority="2" w:unhideWhenUsed="0" w:qFormat="1"/>
    <w:lsdException w:name="Default Paragraph Font" w:uiPriority="1"/>
    <w:lsdException w:name="Subtitle" w:uiPriority="11" w:qFormat="1"/>
    <w:lsdException w:name="Date" w:uiPriority="2"/>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3A3957"/>
    <w:pPr>
      <w:spacing w:line="276" w:lineRule="auto"/>
      <w:ind w:left="0"/>
      <w:jc w:val="both"/>
    </w:pPr>
    <w:rPr>
      <w:color w:val="auto"/>
    </w:rPr>
  </w:style>
  <w:style w:type="paragraph" w:styleId="Heading1">
    <w:name w:val="heading 1"/>
    <w:basedOn w:val="ListParagraph"/>
    <w:link w:val="Heading1Char"/>
    <w:uiPriority w:val="9"/>
    <w:qFormat/>
    <w:rsid w:val="00D63FA1"/>
    <w:pPr>
      <w:numPr>
        <w:numId w:val="4"/>
      </w:numPr>
      <w:spacing w:before="480"/>
      <w:contextualSpacing w:val="0"/>
      <w:outlineLvl w:val="0"/>
    </w:pPr>
    <w:rPr>
      <w:b/>
      <w:bCs/>
      <w:caps/>
      <w:sz w:val="28"/>
      <w:szCs w:val="28"/>
    </w:rPr>
  </w:style>
  <w:style w:type="paragraph" w:styleId="Heading2">
    <w:name w:val="heading 2"/>
    <w:basedOn w:val="ListParagraph"/>
    <w:next w:val="Normal"/>
    <w:link w:val="Heading2Char"/>
    <w:uiPriority w:val="9"/>
    <w:unhideWhenUsed/>
    <w:qFormat/>
    <w:rsid w:val="002665AC"/>
    <w:pPr>
      <w:numPr>
        <w:ilvl w:val="1"/>
        <w:numId w:val="4"/>
      </w:numPr>
      <w:outlineLvl w:val="1"/>
    </w:pPr>
    <w:rPr>
      <w:b/>
      <w:bCs/>
      <w:color w:val="2E2E2E" w:themeColor="accent2"/>
      <w:szCs w:val="24"/>
    </w:rPr>
  </w:style>
  <w:style w:type="paragraph" w:styleId="Heading3">
    <w:name w:val="heading 3"/>
    <w:basedOn w:val="Normal"/>
    <w:next w:val="Normal"/>
    <w:link w:val="Heading3Char"/>
    <w:uiPriority w:val="9"/>
    <w:unhideWhenUsed/>
    <w:qFormat/>
    <w:rsid w:val="002665AC"/>
    <w:pPr>
      <w:keepNext/>
      <w:keepLines/>
      <w:spacing w:before="40" w:after="0"/>
      <w:outlineLvl w:val="2"/>
    </w:pPr>
    <w:rPr>
      <w:rFonts w:asciiTheme="majorHAnsi" w:eastAsiaTheme="majorEastAsia" w:hAnsiTheme="majorHAnsi" w:cstheme="majorBidi"/>
      <w:b/>
      <w:color w:val="707070" w:themeColor="text2"/>
      <w:szCs w:val="24"/>
    </w:rPr>
  </w:style>
  <w:style w:type="paragraph" w:styleId="Heading5">
    <w:name w:val="heading 5"/>
    <w:basedOn w:val="Normal"/>
    <w:link w:val="Heading5Char"/>
    <w:uiPriority w:val="9"/>
    <w:semiHidden/>
    <w:unhideWhenUsed/>
    <w:qFormat/>
    <w:rsid w:val="00740829"/>
    <w:p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FA1"/>
    <w:rPr>
      <w:b/>
      <w:bCs/>
      <w:caps/>
      <w:color w:val="auto"/>
      <w:sz w:val="28"/>
      <w:szCs w:val="28"/>
    </w:rPr>
  </w:style>
  <w:style w:type="character" w:customStyle="1" w:styleId="Heading2Char">
    <w:name w:val="Heading 2 Char"/>
    <w:basedOn w:val="DefaultParagraphFont"/>
    <w:link w:val="Heading2"/>
    <w:uiPriority w:val="9"/>
    <w:rsid w:val="002665AC"/>
    <w:rPr>
      <w:b/>
      <w:bCs/>
      <w:color w:val="2E2E2E" w:themeColor="accent2"/>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rsid w:val="006D5F0B"/>
    <w:pPr>
      <w:keepNext/>
      <w:spacing w:line="240" w:lineRule="auto"/>
      <w:jc w:val="left"/>
    </w:pPr>
    <w:rPr>
      <w:b/>
      <w:bCs/>
      <w:szCs w:val="18"/>
    </w:rPr>
  </w:style>
  <w:style w:type="paragraph" w:styleId="Title">
    <w:name w:val="Title"/>
    <w:basedOn w:val="Normal"/>
    <w:link w:val="TitleChar"/>
    <w:uiPriority w:val="2"/>
    <w:unhideWhenUsed/>
    <w:qFormat/>
    <w:pPr>
      <w:pBdr>
        <w:left w:val="single" w:sz="48" w:space="10" w:color="000000" w:themeColor="text1"/>
      </w:pBdr>
      <w:spacing w:before="240" w:after="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pPr>
      <w:spacing w:after="36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semiHidden/>
    <w:unhideWhenUsed/>
    <w:rsid w:val="00BB1F80"/>
    <w:pPr>
      <w:spacing w:line="240" w:lineRule="auto"/>
    </w:pPr>
    <w:rPr>
      <w:szCs w:val="20"/>
    </w:rPr>
  </w:style>
  <w:style w:type="character" w:customStyle="1" w:styleId="CommentTextChar">
    <w:name w:val="Comment Text Char"/>
    <w:basedOn w:val="DefaultParagraphFont"/>
    <w:link w:val="CommentText"/>
    <w:uiPriority w:val="99"/>
    <w:semiHidden/>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1"/>
      </w:numPr>
      <w:ind w:left="1080"/>
      <w:contextualSpacing/>
    </w:pPr>
  </w:style>
  <w:style w:type="paragraph" w:styleId="ListBullet">
    <w:name w:val="List Bullet"/>
    <w:basedOn w:val="Normal"/>
    <w:uiPriority w:val="10"/>
    <w:rsid w:val="003F2336"/>
    <w:pPr>
      <w:numPr>
        <w:numId w:val="2"/>
      </w:numPr>
      <w:ind w:left="1080"/>
      <w:contextualSpacing/>
    </w:pPr>
  </w:style>
  <w:style w:type="paragraph" w:styleId="TOC1">
    <w:name w:val="toc 1"/>
    <w:basedOn w:val="Normal"/>
    <w:next w:val="Normal"/>
    <w:autoRedefine/>
    <w:uiPriority w:val="39"/>
    <w:unhideWhenUsed/>
    <w:rsid w:val="00FD7222"/>
    <w:pPr>
      <w:spacing w:after="100"/>
    </w:pPr>
  </w:style>
  <w:style w:type="paragraph" w:styleId="TOC2">
    <w:name w:val="toc 2"/>
    <w:basedOn w:val="Normal"/>
    <w:next w:val="Normal"/>
    <w:autoRedefine/>
    <w:uiPriority w:val="39"/>
    <w:unhideWhenUsed/>
    <w:rsid w:val="00FD7222"/>
    <w:pPr>
      <w:spacing w:after="100"/>
      <w:ind w:left="220"/>
    </w:pPr>
  </w:style>
  <w:style w:type="character" w:styleId="Hyperlink">
    <w:name w:val="Hyperlink"/>
    <w:basedOn w:val="DefaultParagraphFont"/>
    <w:uiPriority w:val="99"/>
    <w:unhideWhenUsed/>
    <w:rsid w:val="00FD7222"/>
    <w:rPr>
      <w:color w:val="407F83" w:themeColor="hyperlink"/>
      <w:u w:val="single"/>
    </w:rPr>
  </w:style>
  <w:style w:type="character" w:customStyle="1" w:styleId="Heading3Char">
    <w:name w:val="Heading 3 Char"/>
    <w:basedOn w:val="DefaultParagraphFont"/>
    <w:link w:val="Heading3"/>
    <w:uiPriority w:val="9"/>
    <w:rsid w:val="002665AC"/>
    <w:rPr>
      <w:rFonts w:asciiTheme="majorHAnsi" w:eastAsiaTheme="majorEastAsia" w:hAnsiTheme="majorHAnsi" w:cstheme="majorBidi"/>
      <w:b/>
      <w:color w:val="707070" w:themeColor="text2"/>
      <w:sz w:val="24"/>
      <w:szCs w:val="24"/>
    </w:rPr>
  </w:style>
  <w:style w:type="paragraph" w:styleId="TOC3">
    <w:name w:val="toc 3"/>
    <w:basedOn w:val="Normal"/>
    <w:next w:val="Normal"/>
    <w:autoRedefine/>
    <w:uiPriority w:val="39"/>
    <w:unhideWhenUsed/>
    <w:rsid w:val="00FD7222"/>
    <w:pPr>
      <w:spacing w:after="100"/>
      <w:ind w:left="440"/>
    </w:pPr>
  </w:style>
  <w:style w:type="paragraph" w:customStyle="1" w:styleId="BulletPoints">
    <w:name w:val="Bullet Points"/>
    <w:basedOn w:val="ListNumber"/>
    <w:qFormat/>
    <w:rsid w:val="007A38BC"/>
    <w:pPr>
      <w:numPr>
        <w:numId w:val="3"/>
      </w:numPr>
    </w:pPr>
  </w:style>
  <w:style w:type="table" w:styleId="TableGrid">
    <w:name w:val="Table Grid"/>
    <w:basedOn w:val="TableNormal"/>
    <w:uiPriority w:val="39"/>
    <w:rsid w:val="007A3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A067C9"/>
    <w:pPr>
      <w:ind w:left="720"/>
      <w:contextualSpacing/>
    </w:pPr>
  </w:style>
  <w:style w:type="character" w:styleId="FollowedHyperlink">
    <w:name w:val="FollowedHyperlink"/>
    <w:basedOn w:val="DefaultParagraphFont"/>
    <w:uiPriority w:val="99"/>
    <w:semiHidden/>
    <w:unhideWhenUsed/>
    <w:rsid w:val="006D5F0B"/>
    <w:rPr>
      <w:color w:val="2B8073" w:themeColor="followedHyperlink"/>
      <w:u w:val="single"/>
    </w:rPr>
  </w:style>
  <w:style w:type="paragraph" w:customStyle="1" w:styleId="FigureTableSources">
    <w:name w:val="Figure/Table Sources"/>
    <w:basedOn w:val="Normal"/>
    <w:link w:val="FigureTableSourcesChar"/>
    <w:qFormat/>
    <w:rsid w:val="006D5F0B"/>
    <w:pPr>
      <w:spacing w:line="288" w:lineRule="auto"/>
      <w:jc w:val="left"/>
    </w:pPr>
    <w:rPr>
      <w:iCs/>
      <w:sz w:val="20"/>
      <w:szCs w:val="20"/>
    </w:rPr>
  </w:style>
  <w:style w:type="paragraph" w:customStyle="1" w:styleId="TableFigure">
    <w:name w:val="Table/Figure"/>
    <w:basedOn w:val="FigureTableSources"/>
    <w:qFormat/>
    <w:rsid w:val="006D5F0B"/>
    <w:pPr>
      <w:spacing w:after="0" w:line="240" w:lineRule="auto"/>
    </w:pPr>
    <w:rPr>
      <w:noProof/>
    </w:rPr>
  </w:style>
  <w:style w:type="character" w:customStyle="1" w:styleId="FigureTableSourcesChar">
    <w:name w:val="Figure/Table Sources Char"/>
    <w:basedOn w:val="DefaultParagraphFont"/>
    <w:link w:val="FigureTableSources"/>
    <w:rsid w:val="006D5F0B"/>
    <w:rPr>
      <w:iCs/>
      <w:color w:val="auto"/>
      <w:sz w:val="20"/>
      <w:szCs w:val="20"/>
    </w:rPr>
  </w:style>
  <w:style w:type="paragraph" w:styleId="TableofFigures">
    <w:name w:val="table of figures"/>
    <w:basedOn w:val="Normal"/>
    <w:next w:val="Normal"/>
    <w:uiPriority w:val="99"/>
    <w:unhideWhenUsed/>
    <w:rsid w:val="001C7688"/>
    <w:pPr>
      <w:spacing w:after="0"/>
    </w:pPr>
  </w:style>
  <w:style w:type="character" w:customStyle="1" w:styleId="UnresolvedMention">
    <w:name w:val="Unresolved Mention"/>
    <w:basedOn w:val="DefaultParagraphFont"/>
    <w:uiPriority w:val="99"/>
    <w:semiHidden/>
    <w:unhideWhenUsed/>
    <w:rsid w:val="00D72938"/>
    <w:rPr>
      <w:color w:val="605E5C"/>
      <w:shd w:val="clear" w:color="auto" w:fill="E1DFDD"/>
    </w:rPr>
  </w:style>
  <w:style w:type="table" w:customStyle="1" w:styleId="PlainTable3">
    <w:name w:val="Plain Table 3"/>
    <w:basedOn w:val="TableNormal"/>
    <w:uiPriority w:val="43"/>
    <w:rsid w:val="000D7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0020paragraph">
    <w:name w:val="list_0020paragraph"/>
    <w:basedOn w:val="Normal"/>
    <w:rsid w:val="00944C0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944C0C"/>
  </w:style>
  <w:style w:type="paragraph" w:styleId="NormalWeb">
    <w:name w:val="Normal (Web)"/>
    <w:basedOn w:val="Normal"/>
    <w:uiPriority w:val="99"/>
    <w:rsid w:val="007C7A41"/>
    <w:pPr>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character" w:customStyle="1" w:styleId="textlayer--absolute">
    <w:name w:val="textlayer--absolute"/>
    <w:basedOn w:val="DefaultParagraphFont"/>
    <w:rsid w:val="00BF1F7E"/>
  </w:style>
  <w:style w:type="paragraph" w:customStyle="1" w:styleId="font8">
    <w:name w:val="font_8"/>
    <w:basedOn w:val="Normal"/>
    <w:rsid w:val="00850C37"/>
    <w:pPr>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character" w:customStyle="1" w:styleId="markedcontent">
    <w:name w:val="markedcontent"/>
    <w:basedOn w:val="DefaultParagraphFont"/>
    <w:rsid w:val="00850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0" w:unhideWhenUsed="0"/>
    <w:lsdException w:name="List Number" w:qFormat="1"/>
    <w:lsdException w:name="Title" w:semiHidden="0" w:uiPriority="2" w:unhideWhenUsed="0" w:qFormat="1"/>
    <w:lsdException w:name="Default Paragraph Font" w:uiPriority="1"/>
    <w:lsdException w:name="Subtitle" w:uiPriority="11" w:qFormat="1"/>
    <w:lsdException w:name="Date" w:uiPriority="2"/>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3A3957"/>
    <w:pPr>
      <w:spacing w:line="276" w:lineRule="auto"/>
      <w:ind w:left="0"/>
      <w:jc w:val="both"/>
    </w:pPr>
    <w:rPr>
      <w:color w:val="auto"/>
    </w:rPr>
  </w:style>
  <w:style w:type="paragraph" w:styleId="Heading1">
    <w:name w:val="heading 1"/>
    <w:basedOn w:val="ListParagraph"/>
    <w:link w:val="Heading1Char"/>
    <w:uiPriority w:val="9"/>
    <w:qFormat/>
    <w:rsid w:val="00D63FA1"/>
    <w:pPr>
      <w:numPr>
        <w:numId w:val="4"/>
      </w:numPr>
      <w:spacing w:before="480"/>
      <w:contextualSpacing w:val="0"/>
      <w:outlineLvl w:val="0"/>
    </w:pPr>
    <w:rPr>
      <w:b/>
      <w:bCs/>
      <w:caps/>
      <w:sz w:val="28"/>
      <w:szCs w:val="28"/>
    </w:rPr>
  </w:style>
  <w:style w:type="paragraph" w:styleId="Heading2">
    <w:name w:val="heading 2"/>
    <w:basedOn w:val="ListParagraph"/>
    <w:next w:val="Normal"/>
    <w:link w:val="Heading2Char"/>
    <w:uiPriority w:val="9"/>
    <w:unhideWhenUsed/>
    <w:qFormat/>
    <w:rsid w:val="002665AC"/>
    <w:pPr>
      <w:numPr>
        <w:ilvl w:val="1"/>
        <w:numId w:val="4"/>
      </w:numPr>
      <w:outlineLvl w:val="1"/>
    </w:pPr>
    <w:rPr>
      <w:b/>
      <w:bCs/>
      <w:color w:val="2E2E2E" w:themeColor="accent2"/>
      <w:szCs w:val="24"/>
    </w:rPr>
  </w:style>
  <w:style w:type="paragraph" w:styleId="Heading3">
    <w:name w:val="heading 3"/>
    <w:basedOn w:val="Normal"/>
    <w:next w:val="Normal"/>
    <w:link w:val="Heading3Char"/>
    <w:uiPriority w:val="9"/>
    <w:unhideWhenUsed/>
    <w:qFormat/>
    <w:rsid w:val="002665AC"/>
    <w:pPr>
      <w:keepNext/>
      <w:keepLines/>
      <w:spacing w:before="40" w:after="0"/>
      <w:outlineLvl w:val="2"/>
    </w:pPr>
    <w:rPr>
      <w:rFonts w:asciiTheme="majorHAnsi" w:eastAsiaTheme="majorEastAsia" w:hAnsiTheme="majorHAnsi" w:cstheme="majorBidi"/>
      <w:b/>
      <w:color w:val="707070" w:themeColor="text2"/>
      <w:szCs w:val="24"/>
    </w:rPr>
  </w:style>
  <w:style w:type="paragraph" w:styleId="Heading5">
    <w:name w:val="heading 5"/>
    <w:basedOn w:val="Normal"/>
    <w:link w:val="Heading5Char"/>
    <w:uiPriority w:val="9"/>
    <w:semiHidden/>
    <w:unhideWhenUsed/>
    <w:qFormat/>
    <w:rsid w:val="00740829"/>
    <w:p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FA1"/>
    <w:rPr>
      <w:b/>
      <w:bCs/>
      <w:caps/>
      <w:color w:val="auto"/>
      <w:sz w:val="28"/>
      <w:szCs w:val="28"/>
    </w:rPr>
  </w:style>
  <w:style w:type="character" w:customStyle="1" w:styleId="Heading2Char">
    <w:name w:val="Heading 2 Char"/>
    <w:basedOn w:val="DefaultParagraphFont"/>
    <w:link w:val="Heading2"/>
    <w:uiPriority w:val="9"/>
    <w:rsid w:val="002665AC"/>
    <w:rPr>
      <w:b/>
      <w:bCs/>
      <w:color w:val="2E2E2E" w:themeColor="accent2"/>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rsid w:val="006D5F0B"/>
    <w:pPr>
      <w:keepNext/>
      <w:spacing w:line="240" w:lineRule="auto"/>
      <w:jc w:val="left"/>
    </w:pPr>
    <w:rPr>
      <w:b/>
      <w:bCs/>
      <w:szCs w:val="18"/>
    </w:rPr>
  </w:style>
  <w:style w:type="paragraph" w:styleId="Title">
    <w:name w:val="Title"/>
    <w:basedOn w:val="Normal"/>
    <w:link w:val="TitleChar"/>
    <w:uiPriority w:val="2"/>
    <w:unhideWhenUsed/>
    <w:qFormat/>
    <w:pPr>
      <w:pBdr>
        <w:left w:val="single" w:sz="48" w:space="10" w:color="000000" w:themeColor="text1"/>
      </w:pBdr>
      <w:spacing w:before="240" w:after="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pPr>
      <w:spacing w:after="36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semiHidden/>
    <w:unhideWhenUsed/>
    <w:rsid w:val="00BB1F80"/>
    <w:pPr>
      <w:spacing w:line="240" w:lineRule="auto"/>
    </w:pPr>
    <w:rPr>
      <w:szCs w:val="20"/>
    </w:rPr>
  </w:style>
  <w:style w:type="character" w:customStyle="1" w:styleId="CommentTextChar">
    <w:name w:val="Comment Text Char"/>
    <w:basedOn w:val="DefaultParagraphFont"/>
    <w:link w:val="CommentText"/>
    <w:uiPriority w:val="99"/>
    <w:semiHidden/>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1"/>
      </w:numPr>
      <w:ind w:left="1080"/>
      <w:contextualSpacing/>
    </w:pPr>
  </w:style>
  <w:style w:type="paragraph" w:styleId="ListBullet">
    <w:name w:val="List Bullet"/>
    <w:basedOn w:val="Normal"/>
    <w:uiPriority w:val="10"/>
    <w:rsid w:val="003F2336"/>
    <w:pPr>
      <w:numPr>
        <w:numId w:val="2"/>
      </w:numPr>
      <w:ind w:left="1080"/>
      <w:contextualSpacing/>
    </w:pPr>
  </w:style>
  <w:style w:type="paragraph" w:styleId="TOC1">
    <w:name w:val="toc 1"/>
    <w:basedOn w:val="Normal"/>
    <w:next w:val="Normal"/>
    <w:autoRedefine/>
    <w:uiPriority w:val="39"/>
    <w:unhideWhenUsed/>
    <w:rsid w:val="00FD7222"/>
    <w:pPr>
      <w:spacing w:after="100"/>
    </w:pPr>
  </w:style>
  <w:style w:type="paragraph" w:styleId="TOC2">
    <w:name w:val="toc 2"/>
    <w:basedOn w:val="Normal"/>
    <w:next w:val="Normal"/>
    <w:autoRedefine/>
    <w:uiPriority w:val="39"/>
    <w:unhideWhenUsed/>
    <w:rsid w:val="00FD7222"/>
    <w:pPr>
      <w:spacing w:after="100"/>
      <w:ind w:left="220"/>
    </w:pPr>
  </w:style>
  <w:style w:type="character" w:styleId="Hyperlink">
    <w:name w:val="Hyperlink"/>
    <w:basedOn w:val="DefaultParagraphFont"/>
    <w:uiPriority w:val="99"/>
    <w:unhideWhenUsed/>
    <w:rsid w:val="00FD7222"/>
    <w:rPr>
      <w:color w:val="407F83" w:themeColor="hyperlink"/>
      <w:u w:val="single"/>
    </w:rPr>
  </w:style>
  <w:style w:type="character" w:customStyle="1" w:styleId="Heading3Char">
    <w:name w:val="Heading 3 Char"/>
    <w:basedOn w:val="DefaultParagraphFont"/>
    <w:link w:val="Heading3"/>
    <w:uiPriority w:val="9"/>
    <w:rsid w:val="002665AC"/>
    <w:rPr>
      <w:rFonts w:asciiTheme="majorHAnsi" w:eastAsiaTheme="majorEastAsia" w:hAnsiTheme="majorHAnsi" w:cstheme="majorBidi"/>
      <w:b/>
      <w:color w:val="707070" w:themeColor="text2"/>
      <w:sz w:val="24"/>
      <w:szCs w:val="24"/>
    </w:rPr>
  </w:style>
  <w:style w:type="paragraph" w:styleId="TOC3">
    <w:name w:val="toc 3"/>
    <w:basedOn w:val="Normal"/>
    <w:next w:val="Normal"/>
    <w:autoRedefine/>
    <w:uiPriority w:val="39"/>
    <w:unhideWhenUsed/>
    <w:rsid w:val="00FD7222"/>
    <w:pPr>
      <w:spacing w:after="100"/>
      <w:ind w:left="440"/>
    </w:pPr>
  </w:style>
  <w:style w:type="paragraph" w:customStyle="1" w:styleId="BulletPoints">
    <w:name w:val="Bullet Points"/>
    <w:basedOn w:val="ListNumber"/>
    <w:qFormat/>
    <w:rsid w:val="007A38BC"/>
    <w:pPr>
      <w:numPr>
        <w:numId w:val="3"/>
      </w:numPr>
    </w:pPr>
  </w:style>
  <w:style w:type="table" w:styleId="TableGrid">
    <w:name w:val="Table Grid"/>
    <w:basedOn w:val="TableNormal"/>
    <w:uiPriority w:val="39"/>
    <w:rsid w:val="007A3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A067C9"/>
    <w:pPr>
      <w:ind w:left="720"/>
      <w:contextualSpacing/>
    </w:pPr>
  </w:style>
  <w:style w:type="character" w:styleId="FollowedHyperlink">
    <w:name w:val="FollowedHyperlink"/>
    <w:basedOn w:val="DefaultParagraphFont"/>
    <w:uiPriority w:val="99"/>
    <w:semiHidden/>
    <w:unhideWhenUsed/>
    <w:rsid w:val="006D5F0B"/>
    <w:rPr>
      <w:color w:val="2B8073" w:themeColor="followedHyperlink"/>
      <w:u w:val="single"/>
    </w:rPr>
  </w:style>
  <w:style w:type="paragraph" w:customStyle="1" w:styleId="FigureTableSources">
    <w:name w:val="Figure/Table Sources"/>
    <w:basedOn w:val="Normal"/>
    <w:link w:val="FigureTableSourcesChar"/>
    <w:qFormat/>
    <w:rsid w:val="006D5F0B"/>
    <w:pPr>
      <w:spacing w:line="288" w:lineRule="auto"/>
      <w:jc w:val="left"/>
    </w:pPr>
    <w:rPr>
      <w:iCs/>
      <w:sz w:val="20"/>
      <w:szCs w:val="20"/>
    </w:rPr>
  </w:style>
  <w:style w:type="paragraph" w:customStyle="1" w:styleId="TableFigure">
    <w:name w:val="Table/Figure"/>
    <w:basedOn w:val="FigureTableSources"/>
    <w:qFormat/>
    <w:rsid w:val="006D5F0B"/>
    <w:pPr>
      <w:spacing w:after="0" w:line="240" w:lineRule="auto"/>
    </w:pPr>
    <w:rPr>
      <w:noProof/>
    </w:rPr>
  </w:style>
  <w:style w:type="character" w:customStyle="1" w:styleId="FigureTableSourcesChar">
    <w:name w:val="Figure/Table Sources Char"/>
    <w:basedOn w:val="DefaultParagraphFont"/>
    <w:link w:val="FigureTableSources"/>
    <w:rsid w:val="006D5F0B"/>
    <w:rPr>
      <w:iCs/>
      <w:color w:val="auto"/>
      <w:sz w:val="20"/>
      <w:szCs w:val="20"/>
    </w:rPr>
  </w:style>
  <w:style w:type="paragraph" w:styleId="TableofFigures">
    <w:name w:val="table of figures"/>
    <w:basedOn w:val="Normal"/>
    <w:next w:val="Normal"/>
    <w:uiPriority w:val="99"/>
    <w:unhideWhenUsed/>
    <w:rsid w:val="001C7688"/>
    <w:pPr>
      <w:spacing w:after="0"/>
    </w:pPr>
  </w:style>
  <w:style w:type="character" w:customStyle="1" w:styleId="UnresolvedMention">
    <w:name w:val="Unresolved Mention"/>
    <w:basedOn w:val="DefaultParagraphFont"/>
    <w:uiPriority w:val="99"/>
    <w:semiHidden/>
    <w:unhideWhenUsed/>
    <w:rsid w:val="00D72938"/>
    <w:rPr>
      <w:color w:val="605E5C"/>
      <w:shd w:val="clear" w:color="auto" w:fill="E1DFDD"/>
    </w:rPr>
  </w:style>
  <w:style w:type="table" w:customStyle="1" w:styleId="PlainTable3">
    <w:name w:val="Plain Table 3"/>
    <w:basedOn w:val="TableNormal"/>
    <w:uiPriority w:val="43"/>
    <w:rsid w:val="000D7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0020paragraph">
    <w:name w:val="list_0020paragraph"/>
    <w:basedOn w:val="Normal"/>
    <w:rsid w:val="00944C0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944C0C"/>
  </w:style>
  <w:style w:type="paragraph" w:styleId="NormalWeb">
    <w:name w:val="Normal (Web)"/>
    <w:basedOn w:val="Normal"/>
    <w:uiPriority w:val="99"/>
    <w:rsid w:val="007C7A41"/>
    <w:pPr>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character" w:customStyle="1" w:styleId="textlayer--absolute">
    <w:name w:val="textlayer--absolute"/>
    <w:basedOn w:val="DefaultParagraphFont"/>
    <w:rsid w:val="00BF1F7E"/>
  </w:style>
  <w:style w:type="paragraph" w:customStyle="1" w:styleId="font8">
    <w:name w:val="font_8"/>
    <w:basedOn w:val="Normal"/>
    <w:rsid w:val="00850C37"/>
    <w:pPr>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character" w:customStyle="1" w:styleId="markedcontent">
    <w:name w:val="markedcontent"/>
    <w:basedOn w:val="DefaultParagraphFont"/>
    <w:rsid w:val="00850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6604">
      <w:bodyDiv w:val="1"/>
      <w:marLeft w:val="0"/>
      <w:marRight w:val="0"/>
      <w:marTop w:val="0"/>
      <w:marBottom w:val="0"/>
      <w:divBdr>
        <w:top w:val="none" w:sz="0" w:space="0" w:color="auto"/>
        <w:left w:val="none" w:sz="0" w:space="0" w:color="auto"/>
        <w:bottom w:val="none" w:sz="0" w:space="0" w:color="auto"/>
        <w:right w:val="none" w:sz="0" w:space="0" w:color="auto"/>
      </w:divBdr>
    </w:div>
    <w:div w:id="353002254">
      <w:bodyDiv w:val="1"/>
      <w:marLeft w:val="0"/>
      <w:marRight w:val="0"/>
      <w:marTop w:val="0"/>
      <w:marBottom w:val="0"/>
      <w:divBdr>
        <w:top w:val="none" w:sz="0" w:space="0" w:color="auto"/>
        <w:left w:val="none" w:sz="0" w:space="0" w:color="auto"/>
        <w:bottom w:val="none" w:sz="0" w:space="0" w:color="auto"/>
        <w:right w:val="none" w:sz="0" w:space="0" w:color="auto"/>
      </w:divBdr>
    </w:div>
    <w:div w:id="667096993">
      <w:bodyDiv w:val="1"/>
      <w:marLeft w:val="0"/>
      <w:marRight w:val="0"/>
      <w:marTop w:val="0"/>
      <w:marBottom w:val="0"/>
      <w:divBdr>
        <w:top w:val="none" w:sz="0" w:space="0" w:color="auto"/>
        <w:left w:val="none" w:sz="0" w:space="0" w:color="auto"/>
        <w:bottom w:val="none" w:sz="0" w:space="0" w:color="auto"/>
        <w:right w:val="none" w:sz="0" w:space="0" w:color="auto"/>
      </w:divBdr>
      <w:divsChild>
        <w:div w:id="1879126784">
          <w:marLeft w:val="0"/>
          <w:marRight w:val="0"/>
          <w:marTop w:val="0"/>
          <w:marBottom w:val="0"/>
          <w:divBdr>
            <w:top w:val="none" w:sz="0" w:space="0" w:color="auto"/>
            <w:left w:val="none" w:sz="0" w:space="0" w:color="auto"/>
            <w:bottom w:val="none" w:sz="0" w:space="0" w:color="auto"/>
            <w:right w:val="none" w:sz="0" w:space="0" w:color="auto"/>
          </w:divBdr>
          <w:divsChild>
            <w:div w:id="657803445">
              <w:marLeft w:val="0"/>
              <w:marRight w:val="0"/>
              <w:marTop w:val="0"/>
              <w:marBottom w:val="0"/>
              <w:divBdr>
                <w:top w:val="none" w:sz="0" w:space="0" w:color="auto"/>
                <w:left w:val="none" w:sz="0" w:space="0" w:color="auto"/>
                <w:bottom w:val="none" w:sz="0" w:space="0" w:color="auto"/>
                <w:right w:val="none" w:sz="0" w:space="0" w:color="auto"/>
              </w:divBdr>
              <w:divsChild>
                <w:div w:id="8251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707">
      <w:bodyDiv w:val="1"/>
      <w:marLeft w:val="0"/>
      <w:marRight w:val="0"/>
      <w:marTop w:val="0"/>
      <w:marBottom w:val="0"/>
      <w:divBdr>
        <w:top w:val="none" w:sz="0" w:space="0" w:color="auto"/>
        <w:left w:val="none" w:sz="0" w:space="0" w:color="auto"/>
        <w:bottom w:val="none" w:sz="0" w:space="0" w:color="auto"/>
        <w:right w:val="none" w:sz="0" w:space="0" w:color="auto"/>
      </w:divBdr>
    </w:div>
    <w:div w:id="931547115">
      <w:bodyDiv w:val="1"/>
      <w:marLeft w:val="0"/>
      <w:marRight w:val="0"/>
      <w:marTop w:val="0"/>
      <w:marBottom w:val="0"/>
      <w:divBdr>
        <w:top w:val="none" w:sz="0" w:space="0" w:color="auto"/>
        <w:left w:val="none" w:sz="0" w:space="0" w:color="auto"/>
        <w:bottom w:val="none" w:sz="0" w:space="0" w:color="auto"/>
        <w:right w:val="none" w:sz="0" w:space="0" w:color="auto"/>
      </w:divBdr>
    </w:div>
    <w:div w:id="1012417911">
      <w:bodyDiv w:val="1"/>
      <w:marLeft w:val="0"/>
      <w:marRight w:val="0"/>
      <w:marTop w:val="0"/>
      <w:marBottom w:val="0"/>
      <w:divBdr>
        <w:top w:val="none" w:sz="0" w:space="0" w:color="auto"/>
        <w:left w:val="none" w:sz="0" w:space="0" w:color="auto"/>
        <w:bottom w:val="none" w:sz="0" w:space="0" w:color="auto"/>
        <w:right w:val="none" w:sz="0" w:space="0" w:color="auto"/>
      </w:divBdr>
    </w:div>
    <w:div w:id="1317149164">
      <w:bodyDiv w:val="1"/>
      <w:marLeft w:val="0"/>
      <w:marRight w:val="0"/>
      <w:marTop w:val="0"/>
      <w:marBottom w:val="0"/>
      <w:divBdr>
        <w:top w:val="none" w:sz="0" w:space="0" w:color="auto"/>
        <w:left w:val="none" w:sz="0" w:space="0" w:color="auto"/>
        <w:bottom w:val="none" w:sz="0" w:space="0" w:color="auto"/>
        <w:right w:val="none" w:sz="0" w:space="0" w:color="auto"/>
      </w:divBdr>
    </w:div>
    <w:div w:id="1344359488">
      <w:bodyDiv w:val="1"/>
      <w:marLeft w:val="0"/>
      <w:marRight w:val="0"/>
      <w:marTop w:val="0"/>
      <w:marBottom w:val="0"/>
      <w:divBdr>
        <w:top w:val="none" w:sz="0" w:space="0" w:color="auto"/>
        <w:left w:val="none" w:sz="0" w:space="0" w:color="auto"/>
        <w:bottom w:val="none" w:sz="0" w:space="0" w:color="auto"/>
        <w:right w:val="none" w:sz="0" w:space="0" w:color="auto"/>
      </w:divBdr>
    </w:div>
    <w:div w:id="1364944747">
      <w:bodyDiv w:val="1"/>
      <w:marLeft w:val="0"/>
      <w:marRight w:val="0"/>
      <w:marTop w:val="0"/>
      <w:marBottom w:val="0"/>
      <w:divBdr>
        <w:top w:val="none" w:sz="0" w:space="0" w:color="auto"/>
        <w:left w:val="none" w:sz="0" w:space="0" w:color="auto"/>
        <w:bottom w:val="none" w:sz="0" w:space="0" w:color="auto"/>
        <w:right w:val="none" w:sz="0" w:space="0" w:color="auto"/>
      </w:divBdr>
    </w:div>
    <w:div w:id="1392391016">
      <w:bodyDiv w:val="1"/>
      <w:marLeft w:val="0"/>
      <w:marRight w:val="0"/>
      <w:marTop w:val="0"/>
      <w:marBottom w:val="0"/>
      <w:divBdr>
        <w:top w:val="none" w:sz="0" w:space="0" w:color="auto"/>
        <w:left w:val="none" w:sz="0" w:space="0" w:color="auto"/>
        <w:bottom w:val="none" w:sz="0" w:space="0" w:color="auto"/>
        <w:right w:val="none" w:sz="0" w:space="0" w:color="auto"/>
      </w:divBdr>
    </w:div>
    <w:div w:id="1406222920">
      <w:bodyDiv w:val="1"/>
      <w:marLeft w:val="0"/>
      <w:marRight w:val="0"/>
      <w:marTop w:val="0"/>
      <w:marBottom w:val="0"/>
      <w:divBdr>
        <w:top w:val="none" w:sz="0" w:space="0" w:color="auto"/>
        <w:left w:val="none" w:sz="0" w:space="0" w:color="auto"/>
        <w:bottom w:val="none" w:sz="0" w:space="0" w:color="auto"/>
        <w:right w:val="none" w:sz="0" w:space="0" w:color="auto"/>
      </w:divBdr>
    </w:div>
    <w:div w:id="1502575965">
      <w:bodyDiv w:val="1"/>
      <w:marLeft w:val="0"/>
      <w:marRight w:val="0"/>
      <w:marTop w:val="0"/>
      <w:marBottom w:val="0"/>
      <w:divBdr>
        <w:top w:val="none" w:sz="0" w:space="0" w:color="auto"/>
        <w:left w:val="none" w:sz="0" w:space="0" w:color="auto"/>
        <w:bottom w:val="none" w:sz="0" w:space="0" w:color="auto"/>
        <w:right w:val="none" w:sz="0" w:space="0" w:color="auto"/>
      </w:divBdr>
    </w:div>
    <w:div w:id="1680935574">
      <w:bodyDiv w:val="1"/>
      <w:marLeft w:val="0"/>
      <w:marRight w:val="0"/>
      <w:marTop w:val="0"/>
      <w:marBottom w:val="0"/>
      <w:divBdr>
        <w:top w:val="none" w:sz="0" w:space="0" w:color="auto"/>
        <w:left w:val="none" w:sz="0" w:space="0" w:color="auto"/>
        <w:bottom w:val="none" w:sz="0" w:space="0" w:color="auto"/>
        <w:right w:val="none" w:sz="0" w:space="0" w:color="auto"/>
      </w:divBdr>
      <w:divsChild>
        <w:div w:id="111631738">
          <w:marLeft w:val="446"/>
          <w:marRight w:val="0"/>
          <w:marTop w:val="0"/>
          <w:marBottom w:val="0"/>
          <w:divBdr>
            <w:top w:val="none" w:sz="0" w:space="0" w:color="auto"/>
            <w:left w:val="none" w:sz="0" w:space="0" w:color="auto"/>
            <w:bottom w:val="none" w:sz="0" w:space="0" w:color="auto"/>
            <w:right w:val="none" w:sz="0" w:space="0" w:color="auto"/>
          </w:divBdr>
        </w:div>
        <w:div w:id="614946985">
          <w:marLeft w:val="446"/>
          <w:marRight w:val="0"/>
          <w:marTop w:val="0"/>
          <w:marBottom w:val="0"/>
          <w:divBdr>
            <w:top w:val="none" w:sz="0" w:space="0" w:color="auto"/>
            <w:left w:val="none" w:sz="0" w:space="0" w:color="auto"/>
            <w:bottom w:val="none" w:sz="0" w:space="0" w:color="auto"/>
            <w:right w:val="none" w:sz="0" w:space="0" w:color="auto"/>
          </w:divBdr>
        </w:div>
        <w:div w:id="119685308">
          <w:marLeft w:val="850"/>
          <w:marRight w:val="0"/>
          <w:marTop w:val="0"/>
          <w:marBottom w:val="0"/>
          <w:divBdr>
            <w:top w:val="none" w:sz="0" w:space="0" w:color="auto"/>
            <w:left w:val="none" w:sz="0" w:space="0" w:color="auto"/>
            <w:bottom w:val="none" w:sz="0" w:space="0" w:color="auto"/>
            <w:right w:val="none" w:sz="0" w:space="0" w:color="auto"/>
          </w:divBdr>
        </w:div>
        <w:div w:id="453518860">
          <w:marLeft w:val="850"/>
          <w:marRight w:val="0"/>
          <w:marTop w:val="0"/>
          <w:marBottom w:val="0"/>
          <w:divBdr>
            <w:top w:val="none" w:sz="0" w:space="0" w:color="auto"/>
            <w:left w:val="none" w:sz="0" w:space="0" w:color="auto"/>
            <w:bottom w:val="none" w:sz="0" w:space="0" w:color="auto"/>
            <w:right w:val="none" w:sz="0" w:space="0" w:color="auto"/>
          </w:divBdr>
        </w:div>
        <w:div w:id="280695792">
          <w:marLeft w:val="446"/>
          <w:marRight w:val="0"/>
          <w:marTop w:val="0"/>
          <w:marBottom w:val="0"/>
          <w:divBdr>
            <w:top w:val="none" w:sz="0" w:space="0" w:color="auto"/>
            <w:left w:val="none" w:sz="0" w:space="0" w:color="auto"/>
            <w:bottom w:val="none" w:sz="0" w:space="0" w:color="auto"/>
            <w:right w:val="none" w:sz="0" w:space="0" w:color="auto"/>
          </w:divBdr>
        </w:div>
        <w:div w:id="1363092952">
          <w:marLeft w:val="763"/>
          <w:marRight w:val="0"/>
          <w:marTop w:val="0"/>
          <w:marBottom w:val="0"/>
          <w:divBdr>
            <w:top w:val="none" w:sz="0" w:space="0" w:color="auto"/>
            <w:left w:val="none" w:sz="0" w:space="0" w:color="auto"/>
            <w:bottom w:val="none" w:sz="0" w:space="0" w:color="auto"/>
            <w:right w:val="none" w:sz="0" w:space="0" w:color="auto"/>
          </w:divBdr>
        </w:div>
        <w:div w:id="1180894841">
          <w:marLeft w:val="763"/>
          <w:marRight w:val="0"/>
          <w:marTop w:val="0"/>
          <w:marBottom w:val="0"/>
          <w:divBdr>
            <w:top w:val="none" w:sz="0" w:space="0" w:color="auto"/>
            <w:left w:val="none" w:sz="0" w:space="0" w:color="auto"/>
            <w:bottom w:val="none" w:sz="0" w:space="0" w:color="auto"/>
            <w:right w:val="none" w:sz="0" w:space="0" w:color="auto"/>
          </w:divBdr>
        </w:div>
      </w:divsChild>
    </w:div>
    <w:div w:id="1875607301">
      <w:bodyDiv w:val="1"/>
      <w:marLeft w:val="0"/>
      <w:marRight w:val="0"/>
      <w:marTop w:val="0"/>
      <w:marBottom w:val="0"/>
      <w:divBdr>
        <w:top w:val="none" w:sz="0" w:space="0" w:color="auto"/>
        <w:left w:val="none" w:sz="0" w:space="0" w:color="auto"/>
        <w:bottom w:val="none" w:sz="0" w:space="0" w:color="auto"/>
        <w:right w:val="none" w:sz="0" w:space="0" w:color="auto"/>
      </w:divBdr>
    </w:div>
    <w:div w:id="1924215441">
      <w:bodyDiv w:val="1"/>
      <w:marLeft w:val="0"/>
      <w:marRight w:val="0"/>
      <w:marTop w:val="0"/>
      <w:marBottom w:val="0"/>
      <w:divBdr>
        <w:top w:val="none" w:sz="0" w:space="0" w:color="auto"/>
        <w:left w:val="none" w:sz="0" w:space="0" w:color="auto"/>
        <w:bottom w:val="none" w:sz="0" w:space="0" w:color="auto"/>
        <w:right w:val="none" w:sz="0" w:space="0" w:color="auto"/>
      </w:divBdr>
    </w:div>
    <w:div w:id="20794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hart" Target="charts/chart1.xml"/><Relationship Id="rId26" Type="http://schemas.openxmlformats.org/officeDocument/2006/relationships/chart" Target="charts/chart5.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n.org/development/desa/pd/content/international-migrant-stock" TargetMode="External"/><Relationship Id="rId34"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7.jpg"/><Relationship Id="rId25" Type="http://schemas.openxmlformats.org/officeDocument/2006/relationships/hyperlink" Target="https://www.un.org/development/desa/pd/content/international-migrant-stock" TargetMode="External"/><Relationship Id="rId33" Type="http://schemas.openxmlformats.org/officeDocument/2006/relationships/chart" Target="charts/chart9.xml"/><Relationship Id="rId38" Type="http://schemas.openxmlformats.org/officeDocument/2006/relationships/hyperlink" Target="https://www.un.org/development/desa/pd/content/international-migrant-stock" TargetMode="External"/><Relationship Id="rId2" Type="http://schemas.openxmlformats.org/officeDocument/2006/relationships/numbering" Target="numbering.xml"/><Relationship Id="rId16" Type="http://schemas.openxmlformats.org/officeDocument/2006/relationships/hyperlink" Target="https://en.wikipedia.org/wiki/National_symbols_of_Bangladesh" TargetMode="External"/><Relationship Id="rId20" Type="http://schemas.openxmlformats.org/officeDocument/2006/relationships/chart" Target="charts/chart2.xml"/><Relationship Id="rId29" Type="http://schemas.openxmlformats.org/officeDocument/2006/relationships/chart" Target="charts/chart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annica.com/topic/flag-of-Bangladesh" TargetMode="External"/><Relationship Id="rId24" Type="http://schemas.openxmlformats.org/officeDocument/2006/relationships/chart" Target="charts/chart4.xml"/><Relationship Id="rId32" Type="http://schemas.openxmlformats.org/officeDocument/2006/relationships/hyperlink" Target="https://www.state.gov/secretary-antony-j-blinken-at-the-united-states-holocaust-memorial-museum/" TargetMode="External"/><Relationship Id="rId37" Type="http://schemas.openxmlformats.org/officeDocument/2006/relationships/hyperlink" Target="https://en.wikipedia.org/wiki/National_symbols_of_Bangladesh"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hyperlink" Target="https://www.un.org/development/desa/pd/content/international-migrant-stock" TargetMode="External"/><Relationship Id="rId28" Type="http://schemas.openxmlformats.org/officeDocument/2006/relationships/image" Target="media/image8.png"/><Relationship Id="rId36" Type="http://schemas.openxmlformats.org/officeDocument/2006/relationships/hyperlink" Target="https://www.britannica.com/topic/flag-of-Bangladesh" TargetMode="External"/><Relationship Id="rId10" Type="http://schemas.openxmlformats.org/officeDocument/2006/relationships/image" Target="media/image2.png"/><Relationship Id="rId19" Type="http://schemas.openxmlformats.org/officeDocument/2006/relationships/hyperlink" Target="https://www.un.org/development/desa/pd/content/international-migrant-stock" TargetMode="External"/><Relationship Id="rId31"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chart" Target="charts/chart3.xml"/><Relationship Id="rId27" Type="http://schemas.openxmlformats.org/officeDocument/2006/relationships/hyperlink" Target="https://www.un.org/development/desa/pd/content/international-migrant-stock" TargetMode="External"/><Relationship Id="rId30" Type="http://schemas.openxmlformats.org/officeDocument/2006/relationships/chart" Target="charts/chart7.xml"/><Relationship Id="rId35"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AppData\Roaming\Microsoft\Templates\Create%20an%20Outline.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Migration%20Profile%20Bangladesh\1%20BD%20undesa_pd_2020_ims_stock_by_sex_and_destination%20.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Asus-PC\Downloads\outward_remittance_flows_brief_37_as_of_nov28_2022_2_1.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sus-PC\Downloads\Fig%20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sus-PC\OneDrive\Documents\Countries%20of%20origin.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sus-PC\Downloads\Emigrant%20Stock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sus-PC\Downloads\Copy%20of%20Top%20countries%20of%20destination.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Migration%20Profile%20Bangladesh\Migration%20Flow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Migration%20Profile%20Bangladesh\EIPRE%20migr_eipre__custom_5750378_page_spreadsheet.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Migration%20Profile%20Bangladesh\EIRFS%20migr_eirfs__custom_5750680_spreadsheet.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Asus-PC\Downloads\inward_remittance_flows_as_of_dec._2_2022_0.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986627585010788"/>
          <c:y val="6.0352462851401979E-2"/>
          <c:w val="0.70169313210848638"/>
          <c:h val="0.70800125701481187"/>
        </c:manualLayout>
      </c:layout>
      <c:barChart>
        <c:barDir val="col"/>
        <c:grouping val="stacked"/>
        <c:varyColors val="0"/>
        <c:ser>
          <c:idx val="0"/>
          <c:order val="0"/>
          <c:tx>
            <c:strRef>
              <c:f>Sheet1!$A$2</c:f>
              <c:strCache>
                <c:ptCount val="1"/>
                <c:pt idx="0">
                  <c:v>Male</c:v>
                </c:pt>
              </c:strCache>
            </c:strRef>
          </c:tx>
          <c:invertIfNegative val="0"/>
          <c:cat>
            <c:numRef>
              <c:f>Sheet1!$B$1:$H$1</c:f>
              <c:numCache>
                <c:formatCode>General</c:formatCode>
                <c:ptCount val="7"/>
                <c:pt idx="0">
                  <c:v>1990</c:v>
                </c:pt>
                <c:pt idx="1">
                  <c:v>1995</c:v>
                </c:pt>
                <c:pt idx="2">
                  <c:v>2000</c:v>
                </c:pt>
                <c:pt idx="3">
                  <c:v>2005</c:v>
                </c:pt>
                <c:pt idx="4">
                  <c:v>2010</c:v>
                </c:pt>
                <c:pt idx="5">
                  <c:v>2015</c:v>
                </c:pt>
                <c:pt idx="6">
                  <c:v>2020</c:v>
                </c:pt>
              </c:numCache>
            </c:numRef>
          </c:cat>
          <c:val>
            <c:numRef>
              <c:f>Sheet1!$B$2:$H$2</c:f>
              <c:numCache>
                <c:formatCode>###\ ###\ ##0;\-###\ ###\ ##0;\—;</c:formatCode>
                <c:ptCount val="7"/>
                <c:pt idx="0">
                  <c:v>476097</c:v>
                </c:pt>
                <c:pt idx="1">
                  <c:v>503989</c:v>
                </c:pt>
                <c:pt idx="2">
                  <c:v>531907</c:v>
                </c:pt>
                <c:pt idx="3">
                  <c:v>572146</c:v>
                </c:pt>
                <c:pt idx="4">
                  <c:v>710548</c:v>
                </c:pt>
                <c:pt idx="5">
                  <c:v>751741</c:v>
                </c:pt>
                <c:pt idx="6">
                  <c:v>1093978</c:v>
                </c:pt>
              </c:numCache>
            </c:numRef>
          </c:val>
        </c:ser>
        <c:ser>
          <c:idx val="1"/>
          <c:order val="1"/>
          <c:tx>
            <c:strRef>
              <c:f>Sheet1!$A$3</c:f>
              <c:strCache>
                <c:ptCount val="1"/>
                <c:pt idx="0">
                  <c:v>Female</c:v>
                </c:pt>
              </c:strCache>
            </c:strRef>
          </c:tx>
          <c:invertIfNegative val="0"/>
          <c:cat>
            <c:numRef>
              <c:f>Sheet1!$B$1:$H$1</c:f>
              <c:numCache>
                <c:formatCode>General</c:formatCode>
                <c:ptCount val="7"/>
                <c:pt idx="0">
                  <c:v>1990</c:v>
                </c:pt>
                <c:pt idx="1">
                  <c:v>1995</c:v>
                </c:pt>
                <c:pt idx="2">
                  <c:v>2000</c:v>
                </c:pt>
                <c:pt idx="3">
                  <c:v>2005</c:v>
                </c:pt>
                <c:pt idx="4">
                  <c:v>2010</c:v>
                </c:pt>
                <c:pt idx="5">
                  <c:v>2015</c:v>
                </c:pt>
                <c:pt idx="6">
                  <c:v>2020</c:v>
                </c:pt>
              </c:numCache>
            </c:numRef>
          </c:cat>
          <c:val>
            <c:numRef>
              <c:f>Sheet1!$B$3:$H$3</c:f>
              <c:numCache>
                <c:formatCode>###\ ###\ ##0;\-###\ ###\ ##0;\—;</c:formatCode>
                <c:ptCount val="7"/>
                <c:pt idx="0">
                  <c:v>405520</c:v>
                </c:pt>
                <c:pt idx="1">
                  <c:v>430746</c:v>
                </c:pt>
                <c:pt idx="2">
                  <c:v>455946</c:v>
                </c:pt>
                <c:pt idx="3">
                  <c:v>490124</c:v>
                </c:pt>
                <c:pt idx="4">
                  <c:v>634998</c:v>
                </c:pt>
                <c:pt idx="5">
                  <c:v>670438</c:v>
                </c:pt>
                <c:pt idx="6">
                  <c:v>1021430</c:v>
                </c:pt>
              </c:numCache>
            </c:numRef>
          </c:val>
        </c:ser>
        <c:dLbls>
          <c:showLegendKey val="0"/>
          <c:showVal val="0"/>
          <c:showCatName val="0"/>
          <c:showSerName val="0"/>
          <c:showPercent val="0"/>
          <c:showBubbleSize val="0"/>
        </c:dLbls>
        <c:gapWidth val="150"/>
        <c:overlap val="100"/>
        <c:axId val="142378880"/>
        <c:axId val="142380416"/>
      </c:barChart>
      <c:catAx>
        <c:axId val="142378880"/>
        <c:scaling>
          <c:orientation val="minMax"/>
        </c:scaling>
        <c:delete val="0"/>
        <c:axPos val="b"/>
        <c:numFmt formatCode="General" sourceLinked="1"/>
        <c:majorTickMark val="out"/>
        <c:minorTickMark val="none"/>
        <c:tickLblPos val="nextTo"/>
        <c:crossAx val="142380416"/>
        <c:crosses val="autoZero"/>
        <c:auto val="1"/>
        <c:lblAlgn val="ctr"/>
        <c:lblOffset val="100"/>
        <c:noMultiLvlLbl val="0"/>
      </c:catAx>
      <c:valAx>
        <c:axId val="142380416"/>
        <c:scaling>
          <c:orientation val="minMax"/>
        </c:scaling>
        <c:delete val="0"/>
        <c:axPos val="l"/>
        <c:majorGridlines/>
        <c:numFmt formatCode="###\ ###\ ##0;\-###\ ###\ ##0;\—;" sourceLinked="1"/>
        <c:majorTickMark val="out"/>
        <c:minorTickMark val="none"/>
        <c:tickLblPos val="nextTo"/>
        <c:crossAx val="142378880"/>
        <c:crosses val="autoZero"/>
        <c:crossBetween val="between"/>
      </c:valAx>
    </c:plotArea>
    <c:legend>
      <c:legendPos val="r"/>
      <c:layout>
        <c:manualLayout>
          <c:xMode val="edge"/>
          <c:yMode val="edge"/>
          <c:x val="0.32185976399824689"/>
          <c:y val="0.87621582999960101"/>
          <c:w val="0.33908676271062682"/>
          <c:h val="0.10395187819394525"/>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[outward_remittance_flows_brief_37_as_of_nov28_2022_2_1.xlsx]Sheet1!$B$1:$Z$1</c:f>
              <c:strCache>
                <c:ptCount val="2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strCache>
            </c:strRef>
          </c:cat>
          <c:val>
            <c:numRef>
              <c:f>[outward_remittance_flows_brief_37_as_of_nov28_2022_2_1.xlsx]Sheet1!$B$2:$Z$2</c:f>
              <c:numCache>
                <c:formatCode>#,##0</c:formatCode>
                <c:ptCount val="25"/>
                <c:pt idx="0">
                  <c:v>1.7142495276660119</c:v>
                </c:pt>
                <c:pt idx="1">
                  <c:v>2.5572655663944257</c:v>
                </c:pt>
                <c:pt idx="2">
                  <c:v>3.7048572300632752</c:v>
                </c:pt>
                <c:pt idx="3">
                  <c:v>4.3782166851098925</c:v>
                </c:pt>
                <c:pt idx="4">
                  <c:v>3.6997067081567314</c:v>
                </c:pt>
                <c:pt idx="5">
                  <c:v>5.7348409860573284</c:v>
                </c:pt>
                <c:pt idx="6">
                  <c:v>7.0685621619717853</c:v>
                </c:pt>
                <c:pt idx="7">
                  <c:v>7.7432076994911236</c:v>
                </c:pt>
                <c:pt idx="8">
                  <c:v>5.5</c:v>
                </c:pt>
                <c:pt idx="9">
                  <c:v>3.3222095083878544</c:v>
                </c:pt>
                <c:pt idx="10">
                  <c:v>2.8098322420427824</c:v>
                </c:pt>
                <c:pt idx="11">
                  <c:v>14.330657115053508</c:v>
                </c:pt>
                <c:pt idx="12">
                  <c:v>7.7915563682340991</c:v>
                </c:pt>
                <c:pt idx="13">
                  <c:v>9.4185843068469453</c:v>
                </c:pt>
                <c:pt idx="14">
                  <c:v>11.612731706398234</c:v>
                </c:pt>
                <c:pt idx="15">
                  <c:v>11.741740257177064</c:v>
                </c:pt>
                <c:pt idx="16">
                  <c:v>19.553597140380074</c:v>
                </c:pt>
                <c:pt idx="17">
                  <c:v>32.521361434843215</c:v>
                </c:pt>
                <c:pt idx="18">
                  <c:v>32.102746715594286</c:v>
                </c:pt>
                <c:pt idx="19">
                  <c:v>41.213540689276947</c:v>
                </c:pt>
                <c:pt idx="20">
                  <c:v>46.83824451161324</c:v>
                </c:pt>
                <c:pt idx="21">
                  <c:v>56.932184621152693</c:v>
                </c:pt>
                <c:pt idx="22">
                  <c:v>82.792588325928591</c:v>
                </c:pt>
                <c:pt idx="23">
                  <c:v>94.827814183661687</c:v>
                </c:pt>
                <c:pt idx="24">
                  <c:v>101.34708991231379</c:v>
                </c:pt>
              </c:numCache>
            </c:numRef>
          </c:val>
        </c:ser>
        <c:dLbls>
          <c:showLegendKey val="0"/>
          <c:showVal val="0"/>
          <c:showCatName val="0"/>
          <c:showSerName val="0"/>
          <c:showPercent val="0"/>
          <c:showBubbleSize val="0"/>
        </c:dLbls>
        <c:gapWidth val="150"/>
        <c:axId val="142296576"/>
        <c:axId val="142298112"/>
      </c:barChart>
      <c:catAx>
        <c:axId val="142296576"/>
        <c:scaling>
          <c:orientation val="minMax"/>
        </c:scaling>
        <c:delete val="0"/>
        <c:axPos val="b"/>
        <c:majorTickMark val="out"/>
        <c:minorTickMark val="none"/>
        <c:tickLblPos val="nextTo"/>
        <c:crossAx val="142298112"/>
        <c:crosses val="autoZero"/>
        <c:auto val="1"/>
        <c:lblAlgn val="ctr"/>
        <c:lblOffset val="100"/>
        <c:noMultiLvlLbl val="0"/>
      </c:catAx>
      <c:valAx>
        <c:axId val="142298112"/>
        <c:scaling>
          <c:orientation val="minMax"/>
        </c:scaling>
        <c:delete val="0"/>
        <c:axPos val="l"/>
        <c:majorGridlines/>
        <c:numFmt formatCode="#,##0" sourceLinked="1"/>
        <c:majorTickMark val="out"/>
        <c:minorTickMark val="none"/>
        <c:tickLblPos val="nextTo"/>
        <c:crossAx val="14229657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'[Fig 3.xlsx]Sheet4'!$E$1</c:f>
              <c:strCache>
                <c:ptCount val="1"/>
                <c:pt idx="0">
                  <c:v>Male</c:v>
                </c:pt>
              </c:strCache>
            </c:strRef>
          </c:tx>
          <c:spPr>
            <a:solidFill>
              <a:schemeClr val="accent1"/>
            </a:solidFill>
            <a:ln>
              <a:noFill/>
            </a:ln>
            <a:effectLst/>
          </c:spPr>
          <c:invertIfNegative val="0"/>
          <c:cat>
            <c:strRef>
              <c:f>'[Fig 3.xlsx]Sheet4'!$D$2:$D$17</c:f>
              <c:strCache>
                <c:ptCount val="16"/>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c:v>
                </c:pt>
              </c:strCache>
            </c:strRef>
          </c:cat>
          <c:val>
            <c:numRef>
              <c:f>'[Fig 3.xlsx]Sheet4'!$E$2:$E$17</c:f>
              <c:numCache>
                <c:formatCode>0%</c:formatCode>
                <c:ptCount val="16"/>
                <c:pt idx="0">
                  <c:v>-8.8061185873938963E-2</c:v>
                </c:pt>
                <c:pt idx="1">
                  <c:v>-8.1274029276639931E-2</c:v>
                </c:pt>
                <c:pt idx="2">
                  <c:v>-7.8983306794103716E-2</c:v>
                </c:pt>
                <c:pt idx="3">
                  <c:v>-4.6067654011323809E-2</c:v>
                </c:pt>
                <c:pt idx="4">
                  <c:v>-8.3635137086851843E-2</c:v>
                </c:pt>
                <c:pt idx="5">
                  <c:v>-0.1124163374400582</c:v>
                </c:pt>
                <c:pt idx="6">
                  <c:v>-0.1043576744687736</c:v>
                </c:pt>
                <c:pt idx="7">
                  <c:v>-8.7823521131137922E-2</c:v>
                </c:pt>
                <c:pt idx="8">
                  <c:v>-7.2692503871193026E-2</c:v>
                </c:pt>
                <c:pt idx="9">
                  <c:v>-8.2990699995795156E-2</c:v>
                </c:pt>
                <c:pt idx="10">
                  <c:v>-6.3980262857205539E-2</c:v>
                </c:pt>
                <c:pt idx="11">
                  <c:v>-3.7430368800835119E-2</c:v>
                </c:pt>
                <c:pt idx="12">
                  <c:v>-2.456265116848785E-2</c:v>
                </c:pt>
                <c:pt idx="13">
                  <c:v>-1.5486600278981844E-2</c:v>
                </c:pt>
                <c:pt idx="14">
                  <c:v>-9.0266897506165577E-3</c:v>
                </c:pt>
                <c:pt idx="15">
                  <c:v>-1.121137719405692E-2</c:v>
                </c:pt>
              </c:numCache>
            </c:numRef>
          </c:val>
          <c:extLst xmlns:c16r2="http://schemas.microsoft.com/office/drawing/2015/06/chart">
            <c:ext xmlns:c16="http://schemas.microsoft.com/office/drawing/2014/chart" uri="{C3380CC4-5D6E-409C-BE32-E72D297353CC}">
              <c16:uniqueId val="{00000000-71CF-4F48-AB0B-8F7098E9E6D0}"/>
            </c:ext>
          </c:extLst>
        </c:ser>
        <c:ser>
          <c:idx val="1"/>
          <c:order val="1"/>
          <c:tx>
            <c:strRef>
              <c:f>'[Fig 3.xlsx]Sheet4'!$F$1</c:f>
              <c:strCache>
                <c:ptCount val="1"/>
                <c:pt idx="0">
                  <c:v>Female</c:v>
                </c:pt>
              </c:strCache>
            </c:strRef>
          </c:tx>
          <c:spPr>
            <a:solidFill>
              <a:schemeClr val="accent2"/>
            </a:solidFill>
            <a:ln>
              <a:noFill/>
            </a:ln>
            <a:effectLst/>
          </c:spPr>
          <c:invertIfNegative val="0"/>
          <c:cat>
            <c:strRef>
              <c:f>'[Fig 3.xlsx]Sheet4'!$D$2:$D$17</c:f>
              <c:strCache>
                <c:ptCount val="16"/>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c:v>
                </c:pt>
              </c:strCache>
            </c:strRef>
          </c:cat>
          <c:val>
            <c:numRef>
              <c:f>'[Fig 3.xlsx]Sheet4'!$F$2:$F$17</c:f>
              <c:numCache>
                <c:formatCode>0%</c:formatCode>
                <c:ptCount val="16"/>
                <c:pt idx="0">
                  <c:v>9.2188402533702751E-2</c:v>
                </c:pt>
                <c:pt idx="1">
                  <c:v>8.301890486866452E-2</c:v>
                </c:pt>
                <c:pt idx="2">
                  <c:v>7.7720450740628333E-2</c:v>
                </c:pt>
                <c:pt idx="3">
                  <c:v>4.6556298522659412E-2</c:v>
                </c:pt>
                <c:pt idx="4">
                  <c:v>9.2189381553312508E-2</c:v>
                </c:pt>
                <c:pt idx="5">
                  <c:v>0.11936109180266881</c:v>
                </c:pt>
                <c:pt idx="6">
                  <c:v>0.10513593687281557</c:v>
                </c:pt>
                <c:pt idx="7">
                  <c:v>8.0366740745817136E-2</c:v>
                </c:pt>
                <c:pt idx="8">
                  <c:v>7.1980458768589134E-2</c:v>
                </c:pt>
                <c:pt idx="9">
                  <c:v>7.5573460736418546E-2</c:v>
                </c:pt>
                <c:pt idx="10">
                  <c:v>6.1294459728028355E-2</c:v>
                </c:pt>
                <c:pt idx="11">
                  <c:v>3.6233515757320617E-2</c:v>
                </c:pt>
                <c:pt idx="12">
                  <c:v>2.3909616909626698E-2</c:v>
                </c:pt>
                <c:pt idx="13">
                  <c:v>1.5048510421663747E-2</c:v>
                </c:pt>
                <c:pt idx="14">
                  <c:v>8.8004072721576607E-3</c:v>
                </c:pt>
                <c:pt idx="15">
                  <c:v>1.0622362765926201E-2</c:v>
                </c:pt>
              </c:numCache>
            </c:numRef>
          </c:val>
          <c:extLst xmlns:c16r2="http://schemas.microsoft.com/office/drawing/2015/06/chart">
            <c:ext xmlns:c16="http://schemas.microsoft.com/office/drawing/2014/chart" uri="{C3380CC4-5D6E-409C-BE32-E72D297353CC}">
              <c16:uniqueId val="{00000001-71CF-4F48-AB0B-8F7098E9E6D0}"/>
            </c:ext>
          </c:extLst>
        </c:ser>
        <c:dLbls>
          <c:showLegendKey val="0"/>
          <c:showVal val="0"/>
          <c:showCatName val="0"/>
          <c:showSerName val="0"/>
          <c:showPercent val="0"/>
          <c:showBubbleSize val="0"/>
        </c:dLbls>
        <c:gapWidth val="150"/>
        <c:overlap val="100"/>
        <c:axId val="233596032"/>
        <c:axId val="233597568"/>
      </c:barChart>
      <c:catAx>
        <c:axId val="233596032"/>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597568"/>
        <c:crosses val="autoZero"/>
        <c:auto val="1"/>
        <c:lblAlgn val="ctr"/>
        <c:lblOffset val="100"/>
        <c:noMultiLvlLbl val="0"/>
      </c:catAx>
      <c:valAx>
        <c:axId val="2335975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59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Pos val="outEnd"/>
            <c:showLegendKey val="0"/>
            <c:showVal val="1"/>
            <c:showCatName val="0"/>
            <c:showSerName val="0"/>
            <c:showPercent val="0"/>
            <c:showBubbleSize val="0"/>
            <c:showLeaderLines val="1"/>
          </c:dLbls>
          <c:cat>
            <c:strRef>
              <c:f>Sheet6!$C$2:$C$7</c:f>
              <c:strCache>
                <c:ptCount val="6"/>
                <c:pt idx="0">
                  <c:v>   Myanmar</c:v>
                </c:pt>
                <c:pt idx="1">
                  <c:v>   Malaysia*</c:v>
                </c:pt>
                <c:pt idx="2">
                  <c:v>   China*</c:v>
                </c:pt>
                <c:pt idx="3">
                  <c:v>   Indonesia</c:v>
                </c:pt>
                <c:pt idx="4">
                  <c:v>   Lao People's Democratic Republic</c:v>
                </c:pt>
                <c:pt idx="5">
                  <c:v>other</c:v>
                </c:pt>
              </c:strCache>
            </c:strRef>
          </c:cat>
          <c:val>
            <c:numRef>
              <c:f>Sheet6!$D$2:$D$7</c:f>
              <c:numCache>
                <c:formatCode>###\ ###\ ##0;\-###\ ###\ ##0;..;</c:formatCode>
                <c:ptCount val="6"/>
                <c:pt idx="0">
                  <c:v>907426</c:v>
                </c:pt>
                <c:pt idx="1">
                  <c:v>199618</c:v>
                </c:pt>
                <c:pt idx="2">
                  <c:v>159619</c:v>
                </c:pt>
                <c:pt idx="3">
                  <c:v>149901</c:v>
                </c:pt>
                <c:pt idx="4">
                  <c:v>86447</c:v>
                </c:pt>
                <c:pt idx="5">
                  <c:v>612397</c:v>
                </c:pt>
              </c:numCache>
            </c:numRef>
          </c:val>
        </c:ser>
        <c:dLbls>
          <c:dLblPos val="outEnd"/>
          <c:showLegendKey val="0"/>
          <c:showVal val="1"/>
          <c:showCatName val="0"/>
          <c:showSerName val="0"/>
          <c:showPercent val="0"/>
          <c:showBubbleSize val="0"/>
          <c:showLeaderLines val="1"/>
        </c:dLbls>
        <c:firstSliceAng val="0"/>
      </c:pieChart>
    </c:plotArea>
    <c:legend>
      <c:legendPos val="r"/>
      <c:layout>
        <c:manualLayout>
          <c:xMode val="edge"/>
          <c:yMode val="edge"/>
          <c:x val="0.6694444444444444"/>
          <c:y val="8.1030183727034119E-2"/>
          <c:w val="0.31388888888888888"/>
          <c:h val="0.83793963254593173"/>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150831393600551"/>
          <c:y val="5.0000088651381988E-2"/>
          <c:w val="0.77983661987933761"/>
          <c:h val="0.70218773880466034"/>
        </c:manualLayout>
      </c:layout>
      <c:barChart>
        <c:barDir val="col"/>
        <c:grouping val="stacked"/>
        <c:varyColors val="0"/>
        <c:ser>
          <c:idx val="0"/>
          <c:order val="0"/>
          <c:tx>
            <c:strRef>
              <c:f>Sheet1!$A$2</c:f>
              <c:strCache>
                <c:ptCount val="1"/>
                <c:pt idx="0">
                  <c:v>Male</c:v>
                </c:pt>
              </c:strCache>
            </c:strRef>
          </c:tx>
          <c:invertIfNegative val="0"/>
          <c:cat>
            <c:numRef>
              <c:f>Sheet1!$B$1:$H$1</c:f>
              <c:numCache>
                <c:formatCode>General</c:formatCode>
                <c:ptCount val="7"/>
                <c:pt idx="0">
                  <c:v>1990</c:v>
                </c:pt>
                <c:pt idx="1">
                  <c:v>1995</c:v>
                </c:pt>
                <c:pt idx="2">
                  <c:v>2000</c:v>
                </c:pt>
                <c:pt idx="3">
                  <c:v>2005</c:v>
                </c:pt>
                <c:pt idx="4">
                  <c:v>2010</c:v>
                </c:pt>
                <c:pt idx="5">
                  <c:v>2015</c:v>
                </c:pt>
                <c:pt idx="6">
                  <c:v>2020</c:v>
                </c:pt>
              </c:numCache>
            </c:numRef>
          </c:cat>
          <c:val>
            <c:numRef>
              <c:f>Sheet1!$B$2:$H$2</c:f>
              <c:numCache>
                <c:formatCode>###\ ###\ ##0;\-###\ ###\ ##0;..;</c:formatCode>
                <c:ptCount val="7"/>
                <c:pt idx="0">
                  <c:v>3162454</c:v>
                </c:pt>
                <c:pt idx="1">
                  <c:v>3161768</c:v>
                </c:pt>
                <c:pt idx="2">
                  <c:v>3192999</c:v>
                </c:pt>
                <c:pt idx="3">
                  <c:v>3263197</c:v>
                </c:pt>
                <c:pt idx="4">
                  <c:v>4104883</c:v>
                </c:pt>
                <c:pt idx="5">
                  <c:v>4505672</c:v>
                </c:pt>
                <c:pt idx="6">
                  <c:v>4971930</c:v>
                </c:pt>
              </c:numCache>
            </c:numRef>
          </c:val>
        </c:ser>
        <c:ser>
          <c:idx val="1"/>
          <c:order val="1"/>
          <c:tx>
            <c:strRef>
              <c:f>Sheet1!$A$3</c:f>
              <c:strCache>
                <c:ptCount val="1"/>
                <c:pt idx="0">
                  <c:v>Female</c:v>
                </c:pt>
              </c:strCache>
            </c:strRef>
          </c:tx>
          <c:invertIfNegative val="0"/>
          <c:cat>
            <c:numRef>
              <c:f>Sheet1!$B$1:$H$1</c:f>
              <c:numCache>
                <c:formatCode>General</c:formatCode>
                <c:ptCount val="7"/>
                <c:pt idx="0">
                  <c:v>1990</c:v>
                </c:pt>
                <c:pt idx="1">
                  <c:v>1995</c:v>
                </c:pt>
                <c:pt idx="2">
                  <c:v>2000</c:v>
                </c:pt>
                <c:pt idx="3">
                  <c:v>2005</c:v>
                </c:pt>
                <c:pt idx="4">
                  <c:v>2010</c:v>
                </c:pt>
                <c:pt idx="5">
                  <c:v>2015</c:v>
                </c:pt>
                <c:pt idx="6">
                  <c:v>2020</c:v>
                </c:pt>
              </c:numCache>
            </c:numRef>
          </c:cat>
          <c:val>
            <c:numRef>
              <c:f>Sheet1!$B$3:$H$3</c:f>
              <c:numCache>
                <c:formatCode>###\ ###\ ##0;\-###\ ###\ ##0;..;</c:formatCode>
                <c:ptCount val="7"/>
                <c:pt idx="0">
                  <c:v>2287989</c:v>
                </c:pt>
                <c:pt idx="1">
                  <c:v>2261760</c:v>
                </c:pt>
                <c:pt idx="2">
                  <c:v>2248095</c:v>
                </c:pt>
                <c:pt idx="3">
                  <c:v>2229277</c:v>
                </c:pt>
                <c:pt idx="4">
                  <c:v>2214988</c:v>
                </c:pt>
                <c:pt idx="5">
                  <c:v>2325610</c:v>
                </c:pt>
                <c:pt idx="6">
                  <c:v>2429833</c:v>
                </c:pt>
              </c:numCache>
            </c:numRef>
          </c:val>
        </c:ser>
        <c:dLbls>
          <c:showLegendKey val="0"/>
          <c:showVal val="0"/>
          <c:showCatName val="0"/>
          <c:showSerName val="0"/>
          <c:showPercent val="0"/>
          <c:showBubbleSize val="0"/>
        </c:dLbls>
        <c:gapWidth val="150"/>
        <c:overlap val="100"/>
        <c:axId val="136919680"/>
        <c:axId val="136925568"/>
      </c:barChart>
      <c:catAx>
        <c:axId val="136919680"/>
        <c:scaling>
          <c:orientation val="minMax"/>
        </c:scaling>
        <c:delete val="0"/>
        <c:axPos val="b"/>
        <c:numFmt formatCode="General" sourceLinked="1"/>
        <c:majorTickMark val="out"/>
        <c:minorTickMark val="none"/>
        <c:tickLblPos val="nextTo"/>
        <c:crossAx val="136925568"/>
        <c:crosses val="autoZero"/>
        <c:auto val="1"/>
        <c:lblAlgn val="ctr"/>
        <c:lblOffset val="100"/>
        <c:noMultiLvlLbl val="0"/>
      </c:catAx>
      <c:valAx>
        <c:axId val="136925568"/>
        <c:scaling>
          <c:orientation val="minMax"/>
        </c:scaling>
        <c:delete val="0"/>
        <c:axPos val="l"/>
        <c:majorGridlines/>
        <c:numFmt formatCode="###\ ###\ ##0;\-###\ ###\ ##0;..;" sourceLinked="1"/>
        <c:majorTickMark val="out"/>
        <c:minorTickMark val="none"/>
        <c:tickLblPos val="nextTo"/>
        <c:crossAx val="136919680"/>
        <c:crosses val="autoZero"/>
        <c:crossBetween val="between"/>
      </c:valAx>
    </c:plotArea>
    <c:legend>
      <c:legendPos val="r"/>
      <c:layout>
        <c:manualLayout>
          <c:xMode val="edge"/>
          <c:yMode val="edge"/>
          <c:x val="0.32679494855719993"/>
          <c:y val="0.84199486885801067"/>
          <c:w val="0.40925187569375621"/>
          <c:h val="0.12685223888904845"/>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'[Copy of Top countries of destination.xlsx]Sheet1'!$G$11:$G$20</c:f>
              <c:strCache>
                <c:ptCount val="10"/>
                <c:pt idx="0">
                  <c:v>   India</c:v>
                </c:pt>
                <c:pt idx="1">
                  <c:v>   Saudi Arabia</c:v>
                </c:pt>
                <c:pt idx="2">
                  <c:v>   United Arab Emirates</c:v>
                </c:pt>
                <c:pt idx="3">
                  <c:v>   Malaysia*</c:v>
                </c:pt>
                <c:pt idx="4">
                  <c:v>   Kuwait</c:v>
                </c:pt>
                <c:pt idx="5">
                  <c:v>   Oman</c:v>
                </c:pt>
                <c:pt idx="6">
                  <c:v>   Qatar</c:v>
                </c:pt>
                <c:pt idx="7">
                  <c:v>   United States of America*</c:v>
                </c:pt>
                <c:pt idx="8">
                  <c:v>   United Kingdom*</c:v>
                </c:pt>
                <c:pt idx="9">
                  <c:v>Others</c:v>
                </c:pt>
              </c:strCache>
            </c:strRef>
          </c:cat>
          <c:val>
            <c:numRef>
              <c:f>'[Copy of Top countries of destination.xlsx]Sheet1'!$H$11:$H$20</c:f>
              <c:numCache>
                <c:formatCode>###\ ###\ ##0;\-###\ ###\ ##0;..;</c:formatCode>
                <c:ptCount val="10"/>
                <c:pt idx="0">
                  <c:v>2488471</c:v>
                </c:pt>
                <c:pt idx="1">
                  <c:v>1277624</c:v>
                </c:pt>
                <c:pt idx="2">
                  <c:v>1095231</c:v>
                </c:pt>
                <c:pt idx="3">
                  <c:v>415717</c:v>
                </c:pt>
                <c:pt idx="4">
                  <c:v>380046</c:v>
                </c:pt>
                <c:pt idx="5">
                  <c:v>316467</c:v>
                </c:pt>
                <c:pt idx="6">
                  <c:v>261672</c:v>
                </c:pt>
                <c:pt idx="7">
                  <c:v>261496</c:v>
                </c:pt>
                <c:pt idx="8">
                  <c:v>241799</c:v>
                </c:pt>
                <c:pt idx="9">
                  <c:v>663240</c:v>
                </c:pt>
              </c:numCache>
            </c:numRef>
          </c:val>
          <c:extLst xmlns:c16r2="http://schemas.microsoft.com/office/drawing/2015/06/chart">
            <c:ext xmlns:c16="http://schemas.microsoft.com/office/drawing/2014/chart" uri="{C3380CC4-5D6E-409C-BE32-E72D297353CC}">
              <c16:uniqueId val="{00000000-F7A8-47D0-8835-C4A529C6419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Sheet1!$A$2</c:f>
              <c:strCache>
                <c:ptCount val="1"/>
                <c:pt idx="0">
                  <c:v>Emigration from EU to Bangladesh</c:v>
                </c:pt>
              </c:strCache>
            </c:strRef>
          </c:tx>
          <c:marker>
            <c:symbol val="none"/>
          </c:marker>
          <c:cat>
            <c:strRef>
              <c:f>Sheet1!$B$1:$F$1</c:f>
              <c:strCache>
                <c:ptCount val="5"/>
                <c:pt idx="0">
                  <c:v>2017</c:v>
                </c:pt>
                <c:pt idx="1">
                  <c:v>2018</c:v>
                </c:pt>
                <c:pt idx="2">
                  <c:v>2019</c:v>
                </c:pt>
                <c:pt idx="3">
                  <c:v>2020</c:v>
                </c:pt>
                <c:pt idx="4">
                  <c:v>2021</c:v>
                </c:pt>
              </c:strCache>
            </c:strRef>
          </c:cat>
          <c:val>
            <c:numRef>
              <c:f>Sheet1!$B$2:$F$2</c:f>
              <c:numCache>
                <c:formatCode>0</c:formatCode>
                <c:ptCount val="5"/>
                <c:pt idx="0">
                  <c:v>3211</c:v>
                </c:pt>
                <c:pt idx="1">
                  <c:v>3554</c:v>
                </c:pt>
                <c:pt idx="2">
                  <c:v>5219</c:v>
                </c:pt>
                <c:pt idx="3">
                  <c:v>4395</c:v>
                </c:pt>
                <c:pt idx="4">
                  <c:v>5013</c:v>
                </c:pt>
              </c:numCache>
            </c:numRef>
          </c:val>
          <c:smooth val="0"/>
        </c:ser>
        <c:ser>
          <c:idx val="1"/>
          <c:order val="1"/>
          <c:tx>
            <c:strRef>
              <c:f>Sheet1!$A$3</c:f>
              <c:strCache>
                <c:ptCount val="1"/>
                <c:pt idx="0">
                  <c:v>Immigration from Bangladesh to EU</c:v>
                </c:pt>
              </c:strCache>
            </c:strRef>
          </c:tx>
          <c:marker>
            <c:symbol val="none"/>
          </c:marker>
          <c:cat>
            <c:strRef>
              <c:f>Sheet1!$B$1:$F$1</c:f>
              <c:strCache>
                <c:ptCount val="5"/>
                <c:pt idx="0">
                  <c:v>2017</c:v>
                </c:pt>
                <c:pt idx="1">
                  <c:v>2018</c:v>
                </c:pt>
                <c:pt idx="2">
                  <c:v>2019</c:v>
                </c:pt>
                <c:pt idx="3">
                  <c:v>2020</c:v>
                </c:pt>
                <c:pt idx="4">
                  <c:v>2021</c:v>
                </c:pt>
              </c:strCache>
            </c:strRef>
          </c:cat>
          <c:val>
            <c:numRef>
              <c:f>Sheet1!$B$3:$F$3</c:f>
              <c:numCache>
                <c:formatCode>General</c:formatCode>
                <c:ptCount val="5"/>
                <c:pt idx="0">
                  <c:v>19128</c:v>
                </c:pt>
                <c:pt idx="1">
                  <c:v>19134</c:v>
                </c:pt>
                <c:pt idx="2">
                  <c:v>17957</c:v>
                </c:pt>
                <c:pt idx="3">
                  <c:v>11316</c:v>
                </c:pt>
                <c:pt idx="4">
                  <c:v>19048</c:v>
                </c:pt>
              </c:numCache>
            </c:numRef>
          </c:val>
          <c:smooth val="0"/>
        </c:ser>
        <c:dLbls>
          <c:showLegendKey val="0"/>
          <c:showVal val="0"/>
          <c:showCatName val="0"/>
          <c:showSerName val="0"/>
          <c:showPercent val="0"/>
          <c:showBubbleSize val="0"/>
        </c:dLbls>
        <c:marker val="1"/>
        <c:smooth val="0"/>
        <c:axId val="136962816"/>
        <c:axId val="136964352"/>
      </c:lineChart>
      <c:catAx>
        <c:axId val="136962816"/>
        <c:scaling>
          <c:orientation val="minMax"/>
        </c:scaling>
        <c:delete val="0"/>
        <c:axPos val="b"/>
        <c:majorTickMark val="out"/>
        <c:minorTickMark val="none"/>
        <c:tickLblPos val="nextTo"/>
        <c:crossAx val="136964352"/>
        <c:crosses val="autoZero"/>
        <c:auto val="1"/>
        <c:lblAlgn val="ctr"/>
        <c:lblOffset val="100"/>
        <c:noMultiLvlLbl val="0"/>
      </c:catAx>
      <c:valAx>
        <c:axId val="136964352"/>
        <c:scaling>
          <c:orientation val="minMax"/>
        </c:scaling>
        <c:delete val="0"/>
        <c:axPos val="l"/>
        <c:majorGridlines/>
        <c:numFmt formatCode="0" sourceLinked="1"/>
        <c:majorTickMark val="out"/>
        <c:minorTickMark val="none"/>
        <c:tickLblPos val="nextTo"/>
        <c:crossAx val="136962816"/>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728018372703411"/>
          <c:y val="0.13936351706036745"/>
          <c:w val="0.89271981627296593"/>
          <c:h val="0.72150845727617385"/>
        </c:manualLayout>
      </c:layout>
      <c:lineChart>
        <c:grouping val="standard"/>
        <c:varyColors val="0"/>
        <c:ser>
          <c:idx val="0"/>
          <c:order val="0"/>
          <c:marker>
            <c:symbol val="none"/>
          </c:marker>
          <c:cat>
            <c:strRef>
              <c:f>'Sheet 1'!$B$13:$F$13</c:f>
              <c:strCache>
                <c:ptCount val="5"/>
                <c:pt idx="0">
                  <c:v>2017</c:v>
                </c:pt>
                <c:pt idx="1">
                  <c:v>2018</c:v>
                </c:pt>
                <c:pt idx="2">
                  <c:v>2019</c:v>
                </c:pt>
                <c:pt idx="3">
                  <c:v>2020</c:v>
                </c:pt>
                <c:pt idx="4">
                  <c:v>2021</c:v>
                </c:pt>
              </c:strCache>
            </c:strRef>
          </c:cat>
          <c:val>
            <c:numRef>
              <c:f>'Sheet 1'!$B$14:$F$14</c:f>
              <c:numCache>
                <c:formatCode>#,##0</c:formatCode>
                <c:ptCount val="5"/>
                <c:pt idx="0">
                  <c:v>4975</c:v>
                </c:pt>
                <c:pt idx="1">
                  <c:v>6210</c:v>
                </c:pt>
                <c:pt idx="2">
                  <c:v>9370</c:v>
                </c:pt>
                <c:pt idx="3">
                  <c:v>8510</c:v>
                </c:pt>
                <c:pt idx="4">
                  <c:v>11425</c:v>
                </c:pt>
              </c:numCache>
            </c:numRef>
          </c:val>
          <c:smooth val="0"/>
        </c:ser>
        <c:dLbls>
          <c:showLegendKey val="0"/>
          <c:showVal val="0"/>
          <c:showCatName val="0"/>
          <c:showSerName val="0"/>
          <c:showPercent val="0"/>
          <c:showBubbleSize val="0"/>
        </c:dLbls>
        <c:marker val="1"/>
        <c:smooth val="0"/>
        <c:axId val="137365376"/>
        <c:axId val="137366912"/>
      </c:lineChart>
      <c:catAx>
        <c:axId val="137365376"/>
        <c:scaling>
          <c:orientation val="minMax"/>
        </c:scaling>
        <c:delete val="0"/>
        <c:axPos val="b"/>
        <c:majorTickMark val="out"/>
        <c:minorTickMark val="none"/>
        <c:tickLblPos val="nextTo"/>
        <c:crossAx val="137366912"/>
        <c:crosses val="autoZero"/>
        <c:auto val="1"/>
        <c:lblAlgn val="ctr"/>
        <c:lblOffset val="100"/>
        <c:noMultiLvlLbl val="0"/>
      </c:catAx>
      <c:valAx>
        <c:axId val="137366912"/>
        <c:scaling>
          <c:orientation val="minMax"/>
        </c:scaling>
        <c:delete val="0"/>
        <c:axPos val="l"/>
        <c:majorGridlines/>
        <c:numFmt formatCode="#,##0" sourceLinked="1"/>
        <c:majorTickMark val="out"/>
        <c:minorTickMark val="none"/>
        <c:tickLblPos val="nextTo"/>
        <c:crossAx val="137365376"/>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cat>
            <c:strRef>
              <c:f>'Sheet 1'!$B$11:$F$12</c:f>
              <c:strCache>
                <c:ptCount val="5"/>
                <c:pt idx="0">
                  <c:v>2017</c:v>
                </c:pt>
                <c:pt idx="1">
                  <c:v>2018</c:v>
                </c:pt>
                <c:pt idx="2">
                  <c:v>2019</c:v>
                </c:pt>
                <c:pt idx="3">
                  <c:v>2020</c:v>
                </c:pt>
                <c:pt idx="4">
                  <c:v>2021</c:v>
                </c:pt>
              </c:strCache>
            </c:strRef>
          </c:cat>
          <c:val>
            <c:numRef>
              <c:f>'Sheet 1'!$B$13:$F$13</c:f>
              <c:numCache>
                <c:formatCode>#,##0</c:formatCode>
                <c:ptCount val="5"/>
                <c:pt idx="0">
                  <c:v>1105</c:v>
                </c:pt>
                <c:pt idx="1">
                  <c:v>860</c:v>
                </c:pt>
                <c:pt idx="2">
                  <c:v>390</c:v>
                </c:pt>
                <c:pt idx="3">
                  <c:v>340</c:v>
                </c:pt>
                <c:pt idx="4">
                  <c:v>340</c:v>
                </c:pt>
              </c:numCache>
            </c:numRef>
          </c:val>
          <c:smooth val="0"/>
        </c:ser>
        <c:dLbls>
          <c:showLegendKey val="0"/>
          <c:showVal val="0"/>
          <c:showCatName val="0"/>
          <c:showSerName val="0"/>
          <c:showPercent val="0"/>
          <c:showBubbleSize val="0"/>
        </c:dLbls>
        <c:marker val="1"/>
        <c:smooth val="0"/>
        <c:axId val="137378432"/>
        <c:axId val="137380224"/>
      </c:lineChart>
      <c:catAx>
        <c:axId val="137378432"/>
        <c:scaling>
          <c:orientation val="minMax"/>
        </c:scaling>
        <c:delete val="0"/>
        <c:axPos val="b"/>
        <c:majorTickMark val="out"/>
        <c:minorTickMark val="none"/>
        <c:tickLblPos val="nextTo"/>
        <c:crossAx val="137380224"/>
        <c:crosses val="autoZero"/>
        <c:auto val="1"/>
        <c:lblAlgn val="ctr"/>
        <c:lblOffset val="100"/>
        <c:noMultiLvlLbl val="0"/>
      </c:catAx>
      <c:valAx>
        <c:axId val="137380224"/>
        <c:scaling>
          <c:orientation val="minMax"/>
        </c:scaling>
        <c:delete val="0"/>
        <c:axPos val="l"/>
        <c:majorGridlines/>
        <c:numFmt formatCode="#,##0" sourceLinked="1"/>
        <c:majorTickMark val="out"/>
        <c:minorTickMark val="none"/>
        <c:tickLblPos val="nextTo"/>
        <c:crossAx val="137378432"/>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[inward_remittance_flows_as_of_dec._2_2022_0.xlsx]Sheet1!$A$1:$AG$1</c:f>
              <c:strCach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2022e</c:v>
                </c:pt>
              </c:strCache>
            </c:strRef>
          </c:cat>
          <c:val>
            <c:numRef>
              <c:f>[inward_remittance_flows_as_of_dec._2_2022_0.xlsx]Sheet1!$A$2:$AG$2</c:f>
              <c:numCache>
                <c:formatCode>#,##0</c:formatCode>
                <c:ptCount val="33"/>
                <c:pt idx="0">
                  <c:v>778.86557436414216</c:v>
                </c:pt>
                <c:pt idx="1">
                  <c:v>769.36570678687713</c:v>
                </c:pt>
                <c:pt idx="2">
                  <c:v>911.75997109574837</c:v>
                </c:pt>
                <c:pt idx="3">
                  <c:v>1007.375042592156</c:v>
                </c:pt>
                <c:pt idx="4">
                  <c:v>1150.8812387839575</c:v>
                </c:pt>
                <c:pt idx="5">
                  <c:v>1201.6642665158586</c:v>
                </c:pt>
                <c:pt idx="6">
                  <c:v>1344.6612086588302</c:v>
                </c:pt>
                <c:pt idx="7">
                  <c:v>1526.4995437721666</c:v>
                </c:pt>
                <c:pt idx="8">
                  <c:v>1605.7866524455499</c:v>
                </c:pt>
                <c:pt idx="9">
                  <c:v>1806.7941916516843</c:v>
                </c:pt>
                <c:pt idx="10">
                  <c:v>1967.528858467927</c:v>
                </c:pt>
                <c:pt idx="11">
                  <c:v>2104.5514691417629</c:v>
                </c:pt>
                <c:pt idx="12">
                  <c:v>2858.0577704265202</c:v>
                </c:pt>
                <c:pt idx="13">
                  <c:v>3191.6647320559346</c:v>
                </c:pt>
                <c:pt idx="14">
                  <c:v>3583.817227523728</c:v>
                </c:pt>
                <c:pt idx="15">
                  <c:v>4314.5</c:v>
                </c:pt>
                <c:pt idx="16">
                  <c:v>5427.5154287338</c:v>
                </c:pt>
                <c:pt idx="17">
                  <c:v>6562.3163219084954</c:v>
                </c:pt>
                <c:pt idx="18">
                  <c:v>8940.6116063769186</c:v>
                </c:pt>
                <c:pt idx="19">
                  <c:v>10520.653005638856</c:v>
                </c:pt>
                <c:pt idx="20">
                  <c:v>10850.211617305626</c:v>
                </c:pt>
                <c:pt idx="21">
                  <c:v>12071.07318415758</c:v>
                </c:pt>
                <c:pt idx="22">
                  <c:v>14119.627033985384</c:v>
                </c:pt>
                <c:pt idx="23">
                  <c:v>13866.954019396753</c:v>
                </c:pt>
                <c:pt idx="24">
                  <c:v>14987.531478742734</c:v>
                </c:pt>
                <c:pt idx="25">
                  <c:v>15295.536094835123</c:v>
                </c:pt>
                <c:pt idx="26">
                  <c:v>13574.285886247324</c:v>
                </c:pt>
                <c:pt idx="27">
                  <c:v>13501.93303270963</c:v>
                </c:pt>
                <c:pt idx="28">
                  <c:v>15566.241930307808</c:v>
                </c:pt>
                <c:pt idx="29">
                  <c:v>18363.859531281199</c:v>
                </c:pt>
                <c:pt idx="30">
                  <c:v>21751.64647919351</c:v>
                </c:pt>
                <c:pt idx="31">
                  <c:v>22202.917783868626</c:v>
                </c:pt>
                <c:pt idx="32">
                  <c:v>21000</c:v>
                </c:pt>
              </c:numCache>
            </c:numRef>
          </c:val>
        </c:ser>
        <c:dLbls>
          <c:showLegendKey val="0"/>
          <c:showVal val="0"/>
          <c:showCatName val="0"/>
          <c:showSerName val="0"/>
          <c:showPercent val="0"/>
          <c:showBubbleSize val="0"/>
        </c:dLbls>
        <c:gapWidth val="150"/>
        <c:axId val="142279040"/>
        <c:axId val="142280576"/>
      </c:barChart>
      <c:catAx>
        <c:axId val="142279040"/>
        <c:scaling>
          <c:orientation val="minMax"/>
        </c:scaling>
        <c:delete val="0"/>
        <c:axPos val="b"/>
        <c:majorTickMark val="out"/>
        <c:minorTickMark val="none"/>
        <c:tickLblPos val="nextTo"/>
        <c:crossAx val="142280576"/>
        <c:crosses val="autoZero"/>
        <c:auto val="1"/>
        <c:lblAlgn val="ctr"/>
        <c:lblOffset val="100"/>
        <c:noMultiLvlLbl val="0"/>
      </c:catAx>
      <c:valAx>
        <c:axId val="142280576"/>
        <c:scaling>
          <c:orientation val="minMax"/>
        </c:scaling>
        <c:delete val="0"/>
        <c:axPos val="l"/>
        <c:majorGridlines/>
        <c:numFmt formatCode="#,##0" sourceLinked="1"/>
        <c:majorTickMark val="out"/>
        <c:minorTickMark val="none"/>
        <c:tickLblPos val="nextTo"/>
        <c:crossAx val="14227904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solidFill>
        <a:schemeClr val="phClr"/>
      </a:solidFill>
      <a:solidFill>
        <a:schemeClr val="phClr"/>
      </a:solidFill>
    </a:fillStyleLst>
    <a:lnStyleLst>
      <a:ln w="9525" cap="flat" cmpd="sng" algn="ctr">
        <a:solidFill>
          <a:schemeClr val="phClr"/>
        </a:solidFill>
      </a:ln>
      <a:ln w="25400" cap="flat" cmpd="sng" algn="ctr">
        <a:solidFill>
          <a:schemeClr val="phClr"/>
        </a:solidFill>
      </a:ln>
      <a:ln w="38100" cap="flat" cmpd="sng" algn="ctr">
        <a:solidFill>
          <a:schemeClr val="phClr"/>
        </a:solidFill>
      </a:ln>
    </a:lnStyleLst>
    <a:effectStyleLst>
      <a:effectStyle>
        <a:effectLst>
          <a:fillOverlay blend="over">
            <a:noFill/>
          </a:fillOverlay>
        </a:effectLst>
      </a:effectStyle>
      <a:effectStyle>
        <a:effectLst>
          <a:fillOverlay blend="over">
            <a:noFill/>
          </a:fillOverlay>
        </a:effectLst>
      </a:effectStyle>
      <a:effectStyle>
        <a:effectLst>
          <a:fillOverlay blend="over">
            <a:noFill/>
          </a:fillOverlay>
        </a:effectLst>
      </a:effectStyle>
    </a:effectStyleLst>
    <a:bgFillStyleLst>
      <a:solidFill>
        <a:schemeClr val="phClr"/>
      </a:solidFill>
      <a:solidFill>
        <a:schemeClr val="phClr"/>
      </a:solidFill>
      <a:solidFill>
        <a:schemeClr val="phClr"/>
      </a:soli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8427-EBA4-4BC1-9BE4-BE72351E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Create an Outline.dotx</Template>
  <TotalTime>6067</TotalTime>
  <Pages>15</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Marchand</dc:creator>
  <cp:lastModifiedBy>Asus-PC</cp:lastModifiedBy>
  <cp:revision>293</cp:revision>
  <cp:lastPrinted>2023-06-01T13:32:00Z</cp:lastPrinted>
  <dcterms:created xsi:type="dcterms:W3CDTF">2023-04-11T06:23:00Z</dcterms:created>
  <dcterms:modified xsi:type="dcterms:W3CDTF">2023-06-01T13:32:00Z</dcterms:modified>
</cp:coreProperties>
</file>